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D5C6D3C" w14:textId="2DBCDD77" w:rsidR="000E63BD" w:rsidRPr="00267330" w:rsidRDefault="000E63BD" w:rsidP="000E63BD">
      <w:pPr>
        <w:tabs>
          <w:tab w:val="left" w:pos="3020"/>
          <w:tab w:val="left" w:pos="6120"/>
        </w:tabs>
        <w:spacing w:line="239" w:lineRule="auto"/>
        <w:rPr>
          <w:rFonts w:ascii="宋体" w:eastAsia="宋体" w:hAnsi="宋体" w:cs="Times New Roman"/>
          <w:sz w:val="24"/>
        </w:rPr>
      </w:pPr>
      <w:r w:rsidRPr="00267330">
        <w:rPr>
          <w:rFonts w:ascii="宋体" w:eastAsia="宋体" w:hAnsi="宋体" w:cs="Times New Roman"/>
          <w:sz w:val="24"/>
        </w:rPr>
        <w:t>证券代码：603486</w:t>
      </w:r>
      <w:r w:rsidRPr="00267330">
        <w:rPr>
          <w:rFonts w:ascii="宋体" w:eastAsia="宋体" w:hAnsi="宋体" w:cs="Times New Roman"/>
          <w:sz w:val="24"/>
        </w:rPr>
        <w:tab/>
        <w:t>证券简称：科沃斯</w:t>
      </w:r>
      <w:r w:rsidRPr="00267330">
        <w:rPr>
          <w:rFonts w:ascii="宋体" w:eastAsia="宋体" w:hAnsi="宋体" w:cs="Times New Roman"/>
          <w:sz w:val="24"/>
        </w:rPr>
        <w:tab/>
        <w:t>公告编号：202</w:t>
      </w:r>
      <w:r>
        <w:rPr>
          <w:rFonts w:ascii="宋体" w:eastAsia="宋体" w:hAnsi="宋体" w:cs="Times New Roman"/>
          <w:sz w:val="24"/>
        </w:rPr>
        <w:t>4</w:t>
      </w:r>
      <w:r w:rsidRPr="00267330">
        <w:rPr>
          <w:rFonts w:ascii="宋体" w:eastAsia="宋体" w:hAnsi="宋体" w:cs="Times New Roman"/>
          <w:sz w:val="24"/>
        </w:rPr>
        <w:t>-</w:t>
      </w:r>
      <w:r w:rsidR="003E182C">
        <w:rPr>
          <w:rFonts w:ascii="宋体" w:eastAsia="宋体" w:hAnsi="宋体" w:cs="Times New Roman"/>
          <w:sz w:val="24"/>
        </w:rPr>
        <w:t>00</w:t>
      </w:r>
      <w:r w:rsidR="00E638F7">
        <w:rPr>
          <w:rFonts w:ascii="宋体" w:eastAsia="宋体" w:hAnsi="宋体" w:cs="Times New Roman"/>
          <w:sz w:val="24"/>
        </w:rPr>
        <w:t>4</w:t>
      </w:r>
    </w:p>
    <w:p w14:paraId="5DD7A2E9" w14:textId="77777777" w:rsidR="000E63BD" w:rsidRPr="00267330" w:rsidRDefault="000E63BD" w:rsidP="000E63BD">
      <w:pPr>
        <w:spacing w:line="367" w:lineRule="exact"/>
        <w:rPr>
          <w:rFonts w:ascii="宋体" w:eastAsia="宋体" w:hAnsi="宋体" w:cs="Times New Roman"/>
          <w:sz w:val="36"/>
          <w:szCs w:val="36"/>
        </w:rPr>
      </w:pPr>
      <w:r>
        <w:rPr>
          <w:rFonts w:ascii="宋体" w:eastAsia="宋体" w:hAnsi="宋体" w:cs="Times New Roman" w:hint="eastAsia"/>
          <w:spacing w:val="1"/>
          <w:position w:val="-1"/>
          <w:sz w:val="24"/>
          <w:szCs w:val="24"/>
        </w:rPr>
        <w:t>转债代码：</w:t>
      </w:r>
      <w:r w:rsidRPr="00267330">
        <w:rPr>
          <w:rFonts w:ascii="宋体" w:eastAsia="宋体" w:hAnsi="宋体" w:cs="Times New Roman" w:hint="eastAsia"/>
          <w:spacing w:val="1"/>
          <w:position w:val="-1"/>
          <w:sz w:val="24"/>
          <w:szCs w:val="24"/>
        </w:rPr>
        <w:t>1</w:t>
      </w:r>
      <w:r w:rsidRPr="00267330">
        <w:rPr>
          <w:rFonts w:ascii="宋体" w:eastAsia="宋体" w:hAnsi="宋体" w:cs="Times New Roman"/>
          <w:spacing w:val="1"/>
          <w:position w:val="-1"/>
          <w:sz w:val="24"/>
          <w:szCs w:val="24"/>
        </w:rPr>
        <w:t xml:space="preserve">13633         </w:t>
      </w:r>
      <w:r w:rsidRPr="00267330">
        <w:rPr>
          <w:rFonts w:ascii="宋体" w:eastAsia="宋体" w:hAnsi="宋体" w:cs="Times New Roman" w:hint="eastAsia"/>
          <w:spacing w:val="1"/>
          <w:position w:val="-1"/>
          <w:sz w:val="24"/>
          <w:szCs w:val="24"/>
        </w:rPr>
        <w:t>转债简称：科沃转债</w:t>
      </w:r>
    </w:p>
    <w:p w14:paraId="3F3FDDAD" w14:textId="77777777" w:rsidR="000E63BD" w:rsidRPr="000E63BD" w:rsidRDefault="000E63BD">
      <w:pPr>
        <w:tabs>
          <w:tab w:val="left" w:pos="3255"/>
          <w:tab w:val="left" w:pos="6120"/>
        </w:tabs>
        <w:spacing w:beforeLines="50" w:before="120" w:afterLines="50" w:after="120" w:line="360" w:lineRule="auto"/>
        <w:ind w:firstLineChars="200" w:firstLine="480"/>
        <w:rPr>
          <w:rFonts w:ascii="Times New Roman" w:hAnsi="Times New Roman" w:cs="Times New Roman"/>
          <w:sz w:val="24"/>
        </w:rPr>
      </w:pPr>
    </w:p>
    <w:p w14:paraId="0C71858C" w14:textId="77777777" w:rsidR="00DD54B2" w:rsidRPr="00FB47C6" w:rsidRDefault="00A82D15">
      <w:pPr>
        <w:spacing w:line="360" w:lineRule="auto"/>
        <w:jc w:val="center"/>
        <w:rPr>
          <w:rFonts w:ascii="黑体" w:eastAsia="黑体" w:hAnsi="黑体" w:cs="Times New Roman"/>
          <w:b/>
          <w:color w:val="FF0000"/>
          <w:sz w:val="36"/>
          <w:szCs w:val="36"/>
        </w:rPr>
      </w:pPr>
      <w:r w:rsidRPr="00FB47C6">
        <w:rPr>
          <w:rFonts w:ascii="黑体" w:eastAsia="黑体" w:hAnsi="黑体" w:cs="Times New Roman"/>
          <w:b/>
          <w:color w:val="FF0000"/>
          <w:sz w:val="36"/>
          <w:szCs w:val="36"/>
        </w:rPr>
        <w:t>科沃斯机器人股份有限公司</w:t>
      </w:r>
    </w:p>
    <w:p w14:paraId="7A1D13B6" w14:textId="77777777" w:rsidR="00DD54B2" w:rsidRPr="00FB47C6" w:rsidRDefault="00A82D15">
      <w:pPr>
        <w:jc w:val="center"/>
        <w:rPr>
          <w:rFonts w:ascii="黑体" w:eastAsia="黑体" w:hAnsi="黑体" w:cs="Times New Roman"/>
          <w:b/>
          <w:color w:val="FF0000"/>
          <w:sz w:val="36"/>
          <w:szCs w:val="36"/>
        </w:rPr>
      </w:pPr>
      <w:r w:rsidRPr="00FB47C6">
        <w:rPr>
          <w:rFonts w:ascii="黑体" w:eastAsia="黑体" w:hAnsi="黑体" w:cs="Times New Roman" w:hint="eastAsia"/>
          <w:b/>
          <w:color w:val="FF0000"/>
          <w:sz w:val="36"/>
          <w:szCs w:val="36"/>
        </w:rPr>
        <w:t>20</w:t>
      </w:r>
      <w:r w:rsidR="00920C61" w:rsidRPr="00FB47C6">
        <w:rPr>
          <w:rFonts w:ascii="黑体" w:eastAsia="黑体" w:hAnsi="黑体" w:cs="Times New Roman"/>
          <w:b/>
          <w:color w:val="FF0000"/>
          <w:sz w:val="36"/>
          <w:szCs w:val="36"/>
        </w:rPr>
        <w:t>23</w:t>
      </w:r>
      <w:r w:rsidRPr="00FB47C6">
        <w:rPr>
          <w:rFonts w:ascii="黑体" w:eastAsia="黑体" w:hAnsi="黑体" w:cs="Times New Roman" w:hint="eastAsia"/>
          <w:b/>
          <w:color w:val="FF0000"/>
          <w:sz w:val="36"/>
          <w:szCs w:val="36"/>
        </w:rPr>
        <w:t>年年度业绩预</w:t>
      </w:r>
      <w:r w:rsidR="00331577" w:rsidRPr="00FB47C6">
        <w:rPr>
          <w:rFonts w:ascii="黑体" w:eastAsia="黑体" w:hAnsi="黑体" w:cs="Times New Roman" w:hint="eastAsia"/>
          <w:b/>
          <w:color w:val="FF0000"/>
          <w:sz w:val="36"/>
          <w:szCs w:val="36"/>
        </w:rPr>
        <w:t>减公</w:t>
      </w:r>
      <w:r w:rsidRPr="00FB47C6">
        <w:rPr>
          <w:rFonts w:ascii="黑体" w:eastAsia="黑体" w:hAnsi="黑体" w:cs="Times New Roman" w:hint="eastAsia"/>
          <w:b/>
          <w:color w:val="FF0000"/>
          <w:sz w:val="36"/>
          <w:szCs w:val="36"/>
        </w:rPr>
        <w:t>告</w:t>
      </w:r>
    </w:p>
    <w:p w14:paraId="488A34BD" w14:textId="77777777" w:rsidR="00DD54B2" w:rsidRDefault="00A82D15">
      <w:pPr>
        <w:ind w:firstLineChars="200" w:firstLine="400"/>
        <w:rPr>
          <w:rFonts w:ascii="Times New Roman" w:eastAsia="宋体"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58240" behindDoc="1" locked="0" layoutInCell="1" allowOverlap="1" wp14:anchorId="510BC511" wp14:editId="4B940F84">
                <wp:simplePos x="0" y="0"/>
                <wp:positionH relativeFrom="page">
                  <wp:posOffset>1009650</wp:posOffset>
                </wp:positionH>
                <wp:positionV relativeFrom="paragraph">
                  <wp:posOffset>154940</wp:posOffset>
                </wp:positionV>
                <wp:extent cx="5610225" cy="561975"/>
                <wp:effectExtent l="0" t="0" r="28575" b="28575"/>
                <wp:wrapNone/>
                <wp:docPr id="1" name="Group 2"/>
                <wp:cNvGraphicFramePr/>
                <a:graphic xmlns:a="http://schemas.openxmlformats.org/drawingml/2006/main">
                  <a:graphicData uri="http://schemas.microsoft.com/office/word/2010/wordprocessingGroup">
                    <wpg:wgp>
                      <wpg:cNvGrpSpPr/>
                      <wpg:grpSpPr>
                        <a:xfrm>
                          <a:off x="0" y="0"/>
                          <a:ext cx="5610225" cy="561975"/>
                          <a:chOff x="1800" y="-1535"/>
                          <a:chExt cx="8610" cy="1151"/>
                        </a:xfrm>
                      </wpg:grpSpPr>
                      <wps:wsp>
                        <wps:cNvPr id="2" name="Freeform 3"/>
                        <wps:cNvSpPr/>
                        <wps:spPr bwMode="auto">
                          <a:xfrm>
                            <a:off x="1800" y="-1535"/>
                            <a:ext cx="8610" cy="1151"/>
                          </a:xfrm>
                          <a:custGeom>
                            <a:avLst/>
                            <a:gdLst>
                              <a:gd name="T0" fmla="+- 0 1800 1800"/>
                              <a:gd name="T1" fmla="*/ T0 w 8610"/>
                              <a:gd name="T2" fmla="+- 0 -384 -1535"/>
                              <a:gd name="T3" fmla="*/ -384 h 1151"/>
                              <a:gd name="T4" fmla="+- 0 10410 1800"/>
                              <a:gd name="T5" fmla="*/ T4 w 8610"/>
                              <a:gd name="T6" fmla="+- 0 -384 -1535"/>
                              <a:gd name="T7" fmla="*/ -384 h 1151"/>
                              <a:gd name="T8" fmla="+- 0 10410 1800"/>
                              <a:gd name="T9" fmla="*/ T8 w 8610"/>
                              <a:gd name="T10" fmla="+- 0 -1535 -1535"/>
                              <a:gd name="T11" fmla="*/ -1535 h 1151"/>
                              <a:gd name="T12" fmla="+- 0 1800 1800"/>
                              <a:gd name="T13" fmla="*/ T12 w 8610"/>
                              <a:gd name="T14" fmla="+- 0 -1535 -1535"/>
                              <a:gd name="T15" fmla="*/ -1535 h 1151"/>
                              <a:gd name="T16" fmla="+- 0 1800 1800"/>
                              <a:gd name="T17" fmla="*/ T16 w 8610"/>
                              <a:gd name="T18" fmla="+- 0 -384 -1535"/>
                              <a:gd name="T19" fmla="*/ -384 h 1151"/>
                            </a:gdLst>
                            <a:ahLst/>
                            <a:cxnLst>
                              <a:cxn ang="0">
                                <a:pos x="T1" y="T3"/>
                              </a:cxn>
                              <a:cxn ang="0">
                                <a:pos x="T5" y="T7"/>
                              </a:cxn>
                              <a:cxn ang="0">
                                <a:pos x="T9" y="T11"/>
                              </a:cxn>
                              <a:cxn ang="0">
                                <a:pos x="T13" y="T15"/>
                              </a:cxn>
                              <a:cxn ang="0">
                                <a:pos x="T17" y="T19"/>
                              </a:cxn>
                            </a:cxnLst>
                            <a:rect l="0" t="0" r="r" b="b"/>
                            <a:pathLst>
                              <a:path w="8610" h="1151">
                                <a:moveTo>
                                  <a:pt x="0" y="1151"/>
                                </a:moveTo>
                                <a:lnTo>
                                  <a:pt x="8610" y="1151"/>
                                </a:lnTo>
                                <a:lnTo>
                                  <a:pt x="8610" y="0"/>
                                </a:lnTo>
                                <a:lnTo>
                                  <a:pt x="0" y="0"/>
                                </a:lnTo>
                                <a:lnTo>
                                  <a:pt x="0" y="1151"/>
                                </a:lnTo>
                                <a:close/>
                              </a:path>
                            </a:pathLst>
                          </a:custGeom>
                          <a:noFill/>
                          <a:ln w="9525">
                            <a:solidFill>
                              <a:srgbClr val="000000"/>
                            </a:solidFill>
                            <a:round/>
                          </a:ln>
                        </wps:spPr>
                        <wps:bodyPr rot="0" vert="horz" wrap="square" lIns="91440" tIns="45720" rIns="91440" bIns="45720" anchor="t" anchorCtr="0" upright="1">
                          <a:noAutofit/>
                        </wps:bodyPr>
                      </wps:wsp>
                    </wpg:wgp>
                  </a:graphicData>
                </a:graphic>
              </wp:anchor>
            </w:drawing>
          </mc:Choice>
          <mc:Fallback>
            <w:pict>
              <v:group w14:anchorId="7168DB41" id="Group 2" o:spid="_x0000_s1026" style="position:absolute;left:0;text-align:left;margin-left:79.5pt;margin-top:12.2pt;width:441.75pt;height:44.25pt;z-index:-251658240;mso-position-horizontal-relative:page" coordorigin="1800,-1535" coordsize="8610,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">
                <v:shape id="Freeform 3" o:spid="_x0000_s1027" style="position:absolute;left:1800;top:-1535;width:8610;height:1151;visibility:visible;mso-wrap-style:square;v-text-anchor:top" coordsize="8610,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" path="m,1151r8610,l8610,,,,,1151xe" filled="f">
                  <v:path arrowok="t" o:connecttype="custom" o:connectlocs="0,-384;8610,-384;8610,-1535;0,-1535;0,-384" o:connectangles="0,0,0,0,0"/>
                </v:shape>
                <w10:wrap anchorx="page"/>
              </v:group>
            </w:pict>
          </mc:Fallback>
        </mc:AlternateContent>
      </w:r>
    </w:p>
    <w:p w14:paraId="791607CE" w14:textId="77777777" w:rsidR="00DD54B2" w:rsidRDefault="00A82D15">
      <w:pPr>
        <w:spacing w:line="360" w:lineRule="auto"/>
        <w:ind w:leftChars="71" w:left="142"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本公司董事会及全体董事保证本公告内容不存在任何虚假记载、误导性陈述或者重大遗漏，并对其内容的真实性、准确性和完整性承担</w:t>
      </w:r>
      <w:r w:rsidR="003D7D39">
        <w:rPr>
          <w:rFonts w:ascii="Times New Roman" w:eastAsia="宋体" w:hAnsi="Times New Roman" w:cs="Times New Roman" w:hint="eastAsia"/>
          <w:sz w:val="24"/>
          <w:szCs w:val="24"/>
        </w:rPr>
        <w:t>法律</w:t>
      </w:r>
      <w:r>
        <w:rPr>
          <w:rFonts w:ascii="Times New Roman" w:eastAsia="宋体" w:hAnsi="Times New Roman" w:cs="Times New Roman"/>
          <w:sz w:val="24"/>
          <w:szCs w:val="24"/>
        </w:rPr>
        <w:t>责任。</w:t>
      </w:r>
    </w:p>
    <w:p w14:paraId="5D365F2C" w14:textId="77777777" w:rsidR="00DD54B2" w:rsidRDefault="00DD54B2">
      <w:pPr>
        <w:widowControl w:val="0"/>
        <w:autoSpaceDE w:val="0"/>
        <w:autoSpaceDN w:val="0"/>
        <w:adjustRightInd w:val="0"/>
        <w:rPr>
          <w:rFonts w:ascii="宋体" w:eastAsia="宋体" w:cs="宋体"/>
          <w:color w:val="000000"/>
          <w:sz w:val="24"/>
          <w:szCs w:val="24"/>
        </w:rPr>
      </w:pPr>
      <w:bookmarkStart w:id="0" w:name="OLE_LINK8"/>
      <w:bookmarkStart w:id="1" w:name="OLE_LINK7"/>
    </w:p>
    <w:p w14:paraId="09EE0636" w14:textId="77777777" w:rsidR="00DD54B2" w:rsidRDefault="00A82D15" w:rsidP="00E51361">
      <w:pPr>
        <w:spacing w:line="360" w:lineRule="auto"/>
        <w:ind w:leftChars="1" w:left="142" w:rightChars="-71" w:right="-142" w:hangingChars="58" w:hanging="140"/>
        <w:jc w:val="both"/>
        <w:rPr>
          <w:rFonts w:ascii="宋体" w:eastAsia="宋体" w:cs="宋体"/>
          <w:b/>
          <w:color w:val="000000"/>
          <w:sz w:val="24"/>
          <w:szCs w:val="24"/>
        </w:rPr>
      </w:pPr>
      <w:r>
        <w:rPr>
          <w:rFonts w:ascii="宋体" w:eastAsia="宋体" w:cs="宋体" w:hint="eastAsia"/>
          <w:b/>
          <w:color w:val="000000"/>
          <w:sz w:val="24"/>
          <w:szCs w:val="24"/>
        </w:rPr>
        <w:t>重要内容提示：</w:t>
      </w:r>
      <w:r>
        <w:rPr>
          <w:rFonts w:ascii="宋体" w:eastAsia="宋体" w:cs="宋体"/>
          <w:b/>
          <w:color w:val="000000"/>
          <w:sz w:val="24"/>
          <w:szCs w:val="24"/>
        </w:rPr>
        <w:t xml:space="preserve"> </w:t>
      </w:r>
    </w:p>
    <w:bookmarkEnd w:id="0"/>
    <w:bookmarkEnd w:id="1"/>
    <w:p w14:paraId="56824BB3" w14:textId="1352426D" w:rsidR="00A23F09" w:rsidRPr="00050DE3" w:rsidRDefault="00A23F09" w:rsidP="00F81A2A">
      <w:pPr>
        <w:pStyle w:val="af0"/>
        <w:numPr>
          <w:ilvl w:val="0"/>
          <w:numId w:val="1"/>
        </w:numPr>
        <w:spacing w:beforeLines="100" w:before="240" w:afterLines="50" w:after="120" w:line="360" w:lineRule="auto"/>
        <w:ind w:left="0" w:rightChars="-43" w:right="-86" w:firstLineChars="0" w:firstLine="504"/>
        <w:rPr>
          <w:rFonts w:ascii="宋体" w:eastAsia="宋体" w:hAnsi="宋体" w:cs="Times New Roman"/>
          <w:sz w:val="24"/>
          <w:szCs w:val="24"/>
        </w:rPr>
      </w:pPr>
      <w:r w:rsidRPr="00050DE3">
        <w:rPr>
          <w:rFonts w:ascii="宋体" w:eastAsia="宋体" w:hAnsi="宋体" w:cs="Times New Roman" w:hint="eastAsia"/>
          <w:sz w:val="24"/>
          <w:szCs w:val="24"/>
        </w:rPr>
        <w:t>本期业绩预告适用于实现盈利，且净利润与上年同期相比下降50%以上的情形。</w:t>
      </w:r>
    </w:p>
    <w:p w14:paraId="07A6842E" w14:textId="2D30079F" w:rsidR="00DD54B2" w:rsidRPr="005D55B5" w:rsidRDefault="00A82D15" w:rsidP="00DE460C">
      <w:pPr>
        <w:pStyle w:val="af0"/>
        <w:numPr>
          <w:ilvl w:val="0"/>
          <w:numId w:val="1"/>
        </w:numPr>
        <w:spacing w:beforeLines="100" w:before="240" w:afterLines="50" w:after="120" w:line="360" w:lineRule="auto"/>
        <w:ind w:left="28" w:rightChars="-36" w:right="-72" w:firstLineChars="0" w:firstLine="462"/>
        <w:rPr>
          <w:rFonts w:ascii="宋体" w:eastAsia="宋体" w:hAnsi="宋体" w:cs="Times New Roman"/>
          <w:sz w:val="24"/>
          <w:szCs w:val="24"/>
        </w:rPr>
      </w:pPr>
      <w:r>
        <w:rPr>
          <w:rFonts w:ascii="宋体" w:eastAsia="宋体" w:hAnsi="宋体" w:cs="Times New Roman"/>
          <w:sz w:val="24"/>
          <w:szCs w:val="24"/>
        </w:rPr>
        <w:t>科沃斯机器人股份有限公司（以下简称“公司”）预计20</w:t>
      </w:r>
      <w:r w:rsidR="00644D99">
        <w:rPr>
          <w:rFonts w:ascii="宋体" w:eastAsia="宋体" w:hAnsi="宋体" w:cs="Times New Roman"/>
          <w:sz w:val="24"/>
          <w:szCs w:val="24"/>
        </w:rPr>
        <w:t>2</w:t>
      </w:r>
      <w:r w:rsidR="00A23F09">
        <w:rPr>
          <w:rFonts w:ascii="宋体" w:eastAsia="宋体" w:hAnsi="宋体" w:cs="Times New Roman"/>
          <w:sz w:val="24"/>
          <w:szCs w:val="24"/>
        </w:rPr>
        <w:t>3</w:t>
      </w:r>
      <w:r>
        <w:rPr>
          <w:rFonts w:ascii="宋体" w:eastAsia="宋体" w:hAnsi="宋体" w:cs="Times New Roman"/>
          <w:sz w:val="24"/>
          <w:szCs w:val="24"/>
        </w:rPr>
        <w:t>年</w:t>
      </w:r>
      <w:r w:rsidR="00107462">
        <w:rPr>
          <w:rFonts w:ascii="宋体" w:eastAsia="宋体" w:hAnsi="宋体" w:cs="Times New Roman"/>
          <w:sz w:val="24"/>
          <w:szCs w:val="24"/>
        </w:rPr>
        <w:t>年</w:t>
      </w:r>
      <w:r>
        <w:rPr>
          <w:rFonts w:ascii="宋体" w:eastAsia="宋体" w:hAnsi="宋体" w:cs="Times New Roman"/>
          <w:sz w:val="24"/>
          <w:szCs w:val="24"/>
        </w:rPr>
        <w:t>度实现归属于</w:t>
      </w:r>
      <w:r w:rsidR="00A23F09">
        <w:rPr>
          <w:rFonts w:ascii="宋体" w:eastAsia="宋体" w:hAnsi="宋体" w:cs="Times New Roman"/>
          <w:sz w:val="24"/>
          <w:szCs w:val="24"/>
        </w:rPr>
        <w:t>母公司所有者</w:t>
      </w:r>
      <w:r>
        <w:rPr>
          <w:rFonts w:ascii="宋体" w:eastAsia="宋体" w:hAnsi="宋体" w:cs="Times New Roman"/>
          <w:sz w:val="24"/>
          <w:szCs w:val="24"/>
        </w:rPr>
        <w:t>的净</w:t>
      </w:r>
      <w:r w:rsidRPr="005D55B5">
        <w:rPr>
          <w:rFonts w:ascii="宋体" w:eastAsia="宋体" w:hAnsi="宋体" w:cs="Times New Roman"/>
          <w:sz w:val="24"/>
          <w:szCs w:val="24"/>
        </w:rPr>
        <w:t>利润</w:t>
      </w:r>
      <w:r w:rsidR="00F608FF" w:rsidRPr="005D55B5">
        <w:rPr>
          <w:rFonts w:ascii="宋体" w:eastAsia="宋体" w:hAnsi="宋体" w:cs="宋体"/>
          <w:sz w:val="24"/>
          <w:szCs w:val="24"/>
        </w:rPr>
        <w:t>60,000</w:t>
      </w:r>
      <w:r w:rsidR="00FB2778" w:rsidRPr="005D55B5">
        <w:rPr>
          <w:rFonts w:ascii="宋体" w:eastAsia="宋体" w:hAnsi="宋体" w:cs="Times New Roman"/>
          <w:sz w:val="24"/>
          <w:szCs w:val="24"/>
        </w:rPr>
        <w:t>万元到</w:t>
      </w:r>
      <w:r w:rsidR="00F608FF" w:rsidRPr="005D55B5">
        <w:rPr>
          <w:rFonts w:ascii="宋体" w:eastAsia="宋体" w:hAnsi="宋体" w:cs="宋体"/>
          <w:sz w:val="24"/>
          <w:szCs w:val="24"/>
        </w:rPr>
        <w:t>68,000</w:t>
      </w:r>
      <w:r w:rsidR="00FB2778" w:rsidRPr="005D55B5">
        <w:rPr>
          <w:rFonts w:ascii="宋体" w:eastAsia="宋体" w:hAnsi="宋体" w:cs="Times New Roman"/>
          <w:sz w:val="24"/>
          <w:szCs w:val="24"/>
        </w:rPr>
        <w:t>万元</w:t>
      </w:r>
      <w:r w:rsidRPr="005D55B5">
        <w:rPr>
          <w:rFonts w:ascii="宋体" w:eastAsia="宋体" w:hAnsi="宋体" w:cs="Times New Roman"/>
          <w:sz w:val="24"/>
          <w:szCs w:val="24"/>
        </w:rPr>
        <w:t>，</w:t>
      </w:r>
      <w:r w:rsidR="00FB2778" w:rsidRPr="005D55B5">
        <w:rPr>
          <w:rFonts w:ascii="宋体" w:eastAsia="宋体" w:hAnsi="宋体" w:cs="Times New Roman"/>
          <w:sz w:val="24"/>
          <w:szCs w:val="24"/>
        </w:rPr>
        <w:t>与上年同期相比</w:t>
      </w:r>
      <w:r w:rsidRPr="005D55B5">
        <w:rPr>
          <w:rFonts w:ascii="宋体" w:eastAsia="宋体" w:hAnsi="宋体" w:cs="Times New Roman"/>
          <w:sz w:val="24"/>
          <w:szCs w:val="24"/>
        </w:rPr>
        <w:t>将减少</w:t>
      </w:r>
      <w:r w:rsidR="00DC6E3E" w:rsidRPr="005D55B5">
        <w:rPr>
          <w:rFonts w:ascii="宋体" w:eastAsia="宋体" w:hAnsi="宋体" w:cs="宋体"/>
          <w:sz w:val="24"/>
          <w:szCs w:val="24"/>
        </w:rPr>
        <w:t>101,843.66</w:t>
      </w:r>
      <w:r w:rsidRPr="005D55B5">
        <w:rPr>
          <w:rFonts w:ascii="宋体" w:eastAsia="宋体" w:hAnsi="宋体" w:cs="Times New Roman"/>
          <w:sz w:val="24"/>
        </w:rPr>
        <w:t>万元到</w:t>
      </w:r>
      <w:r w:rsidR="00DC6E3E" w:rsidRPr="005D55B5">
        <w:rPr>
          <w:rFonts w:ascii="宋体" w:eastAsia="宋体" w:hAnsi="宋体" w:cs="宋体"/>
          <w:sz w:val="24"/>
          <w:szCs w:val="24"/>
        </w:rPr>
        <w:t>109,843.66</w:t>
      </w:r>
      <w:r w:rsidRPr="005D55B5">
        <w:rPr>
          <w:rFonts w:ascii="宋体" w:eastAsia="宋体" w:hAnsi="宋体" w:cs="Times New Roman"/>
          <w:sz w:val="24"/>
        </w:rPr>
        <w:t>万元</w:t>
      </w:r>
      <w:r w:rsidRPr="005D55B5">
        <w:rPr>
          <w:rFonts w:ascii="宋体" w:eastAsia="宋体" w:hAnsi="宋体" w:cs="Times New Roman"/>
          <w:sz w:val="24"/>
          <w:szCs w:val="24"/>
        </w:rPr>
        <w:t>，同比减少</w:t>
      </w:r>
      <w:r w:rsidR="00904B52">
        <w:rPr>
          <w:rFonts w:ascii="宋体" w:eastAsia="宋体" w:hAnsi="宋体" w:cs="宋体"/>
          <w:sz w:val="24"/>
          <w:szCs w:val="24"/>
        </w:rPr>
        <w:t>59.96</w:t>
      </w:r>
      <w:r w:rsidRPr="005D55B5">
        <w:rPr>
          <w:rFonts w:ascii="宋体" w:eastAsia="宋体" w:hAnsi="宋体" w:cs="Times New Roman"/>
          <w:sz w:val="24"/>
        </w:rPr>
        <w:t>%到</w:t>
      </w:r>
      <w:r w:rsidR="00904B52">
        <w:rPr>
          <w:rFonts w:ascii="宋体" w:eastAsia="宋体" w:hAnsi="宋体" w:cs="宋体"/>
          <w:sz w:val="24"/>
          <w:szCs w:val="24"/>
        </w:rPr>
        <w:t>64.67</w:t>
      </w:r>
      <w:r w:rsidRPr="005D55B5">
        <w:rPr>
          <w:rFonts w:ascii="宋体" w:eastAsia="宋体" w:hAnsi="宋体" w:cs="Times New Roman"/>
          <w:sz w:val="24"/>
        </w:rPr>
        <w:t>%</w:t>
      </w:r>
      <w:r w:rsidR="00A23F09" w:rsidRPr="005D55B5">
        <w:rPr>
          <w:rFonts w:ascii="宋体" w:eastAsia="宋体" w:hAnsi="宋体" w:cs="Times New Roman"/>
          <w:sz w:val="24"/>
        </w:rPr>
        <w:t>。</w:t>
      </w:r>
      <w:r w:rsidRPr="005D55B5">
        <w:rPr>
          <w:rFonts w:ascii="宋体" w:eastAsia="宋体" w:hAnsi="宋体" w:cs="Times New Roman" w:hint="eastAsia"/>
          <w:sz w:val="24"/>
          <w:szCs w:val="24"/>
        </w:rPr>
        <w:t>归属于</w:t>
      </w:r>
      <w:r w:rsidR="00A23F09" w:rsidRPr="005D55B5">
        <w:rPr>
          <w:rFonts w:ascii="宋体" w:eastAsia="宋体" w:hAnsi="宋体" w:cs="Times New Roman"/>
          <w:sz w:val="24"/>
          <w:szCs w:val="24"/>
        </w:rPr>
        <w:t>母公司所有者</w:t>
      </w:r>
      <w:r w:rsidRPr="005D55B5">
        <w:rPr>
          <w:rFonts w:ascii="宋体" w:eastAsia="宋体" w:hAnsi="宋体" w:cs="Times New Roman" w:hint="eastAsia"/>
          <w:sz w:val="24"/>
          <w:szCs w:val="24"/>
        </w:rPr>
        <w:t>的扣除非经常性损益的净利润</w:t>
      </w:r>
      <w:r w:rsidR="00780674" w:rsidRPr="00780674">
        <w:rPr>
          <w:rFonts w:ascii="宋体" w:eastAsia="宋体" w:hAnsi="宋体" w:cs="宋体"/>
          <w:sz w:val="24"/>
          <w:szCs w:val="24"/>
        </w:rPr>
        <w:t>43,600</w:t>
      </w:r>
      <w:r w:rsidR="00FB2778" w:rsidRPr="005D55B5">
        <w:rPr>
          <w:rFonts w:ascii="宋体" w:eastAsia="宋体" w:hAnsi="宋体" w:cs="Times New Roman" w:hint="eastAsia"/>
          <w:sz w:val="24"/>
          <w:szCs w:val="24"/>
        </w:rPr>
        <w:t>万元到</w:t>
      </w:r>
      <w:r w:rsidR="00780674" w:rsidRPr="00780674">
        <w:rPr>
          <w:rFonts w:ascii="宋体" w:eastAsia="宋体" w:hAnsi="宋体" w:cs="宋体"/>
          <w:sz w:val="24"/>
          <w:szCs w:val="24"/>
        </w:rPr>
        <w:t>51,600</w:t>
      </w:r>
      <w:r w:rsidR="00FB2778" w:rsidRPr="005D55B5">
        <w:rPr>
          <w:rFonts w:ascii="宋体" w:eastAsia="宋体" w:hAnsi="宋体" w:cs="Times New Roman" w:hint="eastAsia"/>
          <w:sz w:val="24"/>
          <w:szCs w:val="24"/>
        </w:rPr>
        <w:t>万元，</w:t>
      </w:r>
      <w:r w:rsidRPr="005D55B5">
        <w:rPr>
          <w:rFonts w:ascii="宋体" w:eastAsia="宋体" w:hAnsi="宋体" w:cs="Times New Roman" w:hint="eastAsia"/>
          <w:sz w:val="24"/>
          <w:szCs w:val="24"/>
        </w:rPr>
        <w:t>与上年同期相比将减少</w:t>
      </w:r>
      <w:r w:rsidR="00555D07" w:rsidRPr="00555D07">
        <w:rPr>
          <w:rFonts w:ascii="宋体" w:eastAsia="宋体" w:hAnsi="宋体" w:cs="宋体"/>
          <w:sz w:val="24"/>
          <w:szCs w:val="24"/>
        </w:rPr>
        <w:t>111,019.35</w:t>
      </w:r>
      <w:r w:rsidRPr="005D55B5">
        <w:rPr>
          <w:rFonts w:ascii="宋体" w:eastAsia="宋体" w:hAnsi="宋体" w:cs="Times New Roman" w:hint="eastAsia"/>
          <w:sz w:val="24"/>
        </w:rPr>
        <w:t>万元</w:t>
      </w:r>
      <w:r w:rsidR="00A9337E">
        <w:rPr>
          <w:rFonts w:ascii="宋体" w:eastAsia="宋体" w:hAnsi="宋体" w:cs="Times New Roman" w:hint="eastAsia"/>
          <w:sz w:val="24"/>
        </w:rPr>
        <w:t>到</w:t>
      </w:r>
      <w:r w:rsidR="00A9337E" w:rsidRPr="00555D07">
        <w:rPr>
          <w:rFonts w:ascii="宋体" w:eastAsia="宋体" w:hAnsi="宋体" w:cs="宋体"/>
          <w:sz w:val="24"/>
          <w:szCs w:val="24"/>
        </w:rPr>
        <w:t>119,019.35</w:t>
      </w:r>
      <w:r w:rsidR="00A9337E">
        <w:rPr>
          <w:rFonts w:ascii="宋体" w:eastAsia="宋体" w:hAnsi="宋体" w:cs="Times New Roman" w:hint="eastAsia"/>
          <w:sz w:val="24"/>
        </w:rPr>
        <w:t>万元</w:t>
      </w:r>
      <w:r w:rsidRPr="005D55B5">
        <w:rPr>
          <w:rFonts w:ascii="宋体" w:eastAsia="宋体" w:hAnsi="宋体" w:cs="Times New Roman" w:hint="eastAsia"/>
          <w:sz w:val="24"/>
          <w:szCs w:val="24"/>
        </w:rPr>
        <w:t>，同比减少</w:t>
      </w:r>
      <w:r w:rsidR="00780674">
        <w:rPr>
          <w:rFonts w:ascii="宋体" w:eastAsia="宋体" w:hAnsi="宋体" w:cs="宋体"/>
          <w:sz w:val="24"/>
          <w:szCs w:val="24"/>
        </w:rPr>
        <w:t>68.27</w:t>
      </w:r>
      <w:r w:rsidRPr="005D55B5">
        <w:rPr>
          <w:rFonts w:ascii="宋体" w:eastAsia="宋体" w:hAnsi="宋体" w:cs="Times New Roman" w:hint="eastAsia"/>
          <w:sz w:val="24"/>
        </w:rPr>
        <w:t>%到</w:t>
      </w:r>
      <w:r w:rsidR="00780674">
        <w:rPr>
          <w:rFonts w:ascii="宋体" w:eastAsia="宋体" w:hAnsi="宋体" w:cs="宋体"/>
          <w:sz w:val="24"/>
          <w:szCs w:val="24"/>
        </w:rPr>
        <w:t>73.19</w:t>
      </w:r>
      <w:r w:rsidRPr="005D55B5">
        <w:rPr>
          <w:rFonts w:ascii="宋体" w:eastAsia="宋体" w:hAnsi="宋体" w:cs="Times New Roman"/>
          <w:sz w:val="24"/>
        </w:rPr>
        <w:t>%</w:t>
      </w:r>
      <w:r w:rsidRPr="005D55B5">
        <w:rPr>
          <w:rFonts w:ascii="宋体" w:eastAsia="宋体" w:hAnsi="宋体" w:cs="Times New Roman" w:hint="eastAsia"/>
          <w:sz w:val="24"/>
          <w:szCs w:val="24"/>
        </w:rPr>
        <w:t>。</w:t>
      </w:r>
    </w:p>
    <w:p w14:paraId="1A298AC4" w14:textId="77777777" w:rsidR="00DD54B2" w:rsidRDefault="00A82D15">
      <w:pPr>
        <w:spacing w:beforeLines="100" w:before="240" w:afterLines="50" w:after="120" w:line="360" w:lineRule="auto"/>
        <w:ind w:firstLineChars="200" w:firstLine="482"/>
        <w:rPr>
          <w:rFonts w:ascii="宋体" w:eastAsia="宋体" w:hAnsi="宋体" w:cs="Times New Roman"/>
          <w:b/>
          <w:sz w:val="24"/>
        </w:rPr>
      </w:pPr>
      <w:r>
        <w:rPr>
          <w:rFonts w:ascii="宋体" w:eastAsia="宋体" w:hAnsi="宋体" w:cs="Times New Roman"/>
          <w:b/>
          <w:sz w:val="24"/>
        </w:rPr>
        <w:t>一、本期业绩预告情况</w:t>
      </w:r>
    </w:p>
    <w:p w14:paraId="46BD4191" w14:textId="77777777" w:rsidR="00DD54B2" w:rsidRDefault="00A82D15" w:rsidP="00587A0C">
      <w:pPr>
        <w:tabs>
          <w:tab w:val="left" w:pos="851"/>
        </w:tabs>
        <w:spacing w:line="360" w:lineRule="auto"/>
        <w:ind w:rightChars="-57" w:right="-114" w:firstLineChars="145" w:firstLine="348"/>
        <w:jc w:val="both"/>
        <w:rPr>
          <w:rFonts w:ascii="宋体" w:eastAsia="宋体" w:hAnsi="宋体" w:cs="Times New Roman"/>
          <w:sz w:val="24"/>
        </w:rPr>
      </w:pPr>
      <w:r>
        <w:rPr>
          <w:rFonts w:ascii="宋体" w:eastAsia="宋体" w:hAnsi="宋体" w:cs="Times New Roman"/>
          <w:sz w:val="24"/>
        </w:rPr>
        <w:t>（一）业绩预告期间</w:t>
      </w:r>
    </w:p>
    <w:p w14:paraId="658932A3" w14:textId="77777777" w:rsidR="00DD54B2" w:rsidRDefault="00A82D15">
      <w:pPr>
        <w:tabs>
          <w:tab w:val="left" w:pos="851"/>
        </w:tabs>
        <w:spacing w:line="360" w:lineRule="auto"/>
        <w:ind w:rightChars="-57" w:right="-114" w:firstLineChars="200" w:firstLine="480"/>
        <w:jc w:val="both"/>
        <w:rPr>
          <w:rFonts w:ascii="宋体" w:eastAsia="宋体" w:hAnsi="宋体" w:cs="Times New Roman"/>
          <w:sz w:val="24"/>
        </w:rPr>
      </w:pPr>
      <w:r>
        <w:rPr>
          <w:rFonts w:ascii="宋体" w:eastAsia="宋体" w:hAnsi="宋体" w:cs="Times New Roman"/>
          <w:sz w:val="24"/>
        </w:rPr>
        <w:t>20</w:t>
      </w:r>
      <w:r w:rsidR="00644D99">
        <w:rPr>
          <w:rFonts w:ascii="宋体" w:eastAsia="宋体" w:hAnsi="宋体" w:cs="Times New Roman"/>
          <w:sz w:val="24"/>
        </w:rPr>
        <w:t>23</w:t>
      </w:r>
      <w:r>
        <w:rPr>
          <w:rFonts w:ascii="宋体" w:eastAsia="宋体" w:hAnsi="宋体" w:cs="Times New Roman"/>
          <w:sz w:val="24"/>
        </w:rPr>
        <w:t>年1月1日至20</w:t>
      </w:r>
      <w:r w:rsidR="00644D99">
        <w:rPr>
          <w:rFonts w:ascii="宋体" w:eastAsia="宋体" w:hAnsi="宋体" w:cs="Times New Roman"/>
          <w:sz w:val="24"/>
        </w:rPr>
        <w:t>23</w:t>
      </w:r>
      <w:r>
        <w:rPr>
          <w:rFonts w:ascii="宋体" w:eastAsia="宋体" w:hAnsi="宋体" w:cs="Times New Roman"/>
          <w:sz w:val="24"/>
        </w:rPr>
        <w:t>年12月31日。</w:t>
      </w:r>
    </w:p>
    <w:p w14:paraId="5B6884AF" w14:textId="77777777" w:rsidR="00DD54B2" w:rsidRDefault="00A82D15" w:rsidP="00BB03B6">
      <w:pPr>
        <w:tabs>
          <w:tab w:val="left" w:pos="851"/>
        </w:tabs>
        <w:spacing w:line="360" w:lineRule="auto"/>
        <w:ind w:rightChars="-57" w:right="-114" w:firstLineChars="157" w:firstLine="377"/>
        <w:jc w:val="both"/>
        <w:rPr>
          <w:rFonts w:ascii="宋体" w:eastAsia="宋体" w:hAnsi="宋体" w:cs="Times New Roman"/>
          <w:sz w:val="24"/>
        </w:rPr>
      </w:pPr>
      <w:r>
        <w:rPr>
          <w:rFonts w:ascii="宋体" w:eastAsia="宋体" w:hAnsi="宋体" w:cs="Times New Roman"/>
          <w:sz w:val="24"/>
        </w:rPr>
        <w:t>（二）业绩预告情况</w:t>
      </w:r>
    </w:p>
    <w:p w14:paraId="53B715E0" w14:textId="60C70321" w:rsidR="00DD54B2" w:rsidRPr="007A2C15" w:rsidRDefault="00A82D15" w:rsidP="00AB1BB7">
      <w:pPr>
        <w:tabs>
          <w:tab w:val="left" w:pos="851"/>
        </w:tabs>
        <w:spacing w:line="360" w:lineRule="auto"/>
        <w:ind w:rightChars="-57" w:right="-114" w:firstLineChars="227" w:firstLine="545"/>
        <w:jc w:val="both"/>
        <w:rPr>
          <w:rFonts w:ascii="宋体" w:eastAsia="宋体" w:hAnsi="宋体" w:cs="Times New Roman"/>
          <w:sz w:val="24"/>
        </w:rPr>
      </w:pPr>
      <w:r>
        <w:rPr>
          <w:rFonts w:ascii="宋体" w:eastAsia="宋体" w:hAnsi="宋体" w:cs="Times New Roman"/>
          <w:sz w:val="24"/>
        </w:rPr>
        <w:t>1</w:t>
      </w:r>
      <w:r w:rsidR="00EF5524">
        <w:rPr>
          <w:rFonts w:ascii="宋体" w:eastAsia="宋体" w:hAnsi="宋体" w:cs="Times New Roman" w:hint="eastAsia"/>
          <w:sz w:val="24"/>
        </w:rPr>
        <w:t>、</w:t>
      </w:r>
      <w:r>
        <w:rPr>
          <w:rFonts w:ascii="宋体" w:eastAsia="宋体" w:hAnsi="宋体" w:cs="Times New Roman"/>
          <w:sz w:val="24"/>
        </w:rPr>
        <w:t>经财务部门初步测算，预计</w:t>
      </w:r>
      <w:r w:rsidR="00A23F09">
        <w:rPr>
          <w:rFonts w:ascii="宋体" w:eastAsia="宋体" w:hAnsi="宋体" w:cs="Times New Roman"/>
          <w:sz w:val="24"/>
        </w:rPr>
        <w:t>公司</w:t>
      </w:r>
      <w:r>
        <w:rPr>
          <w:rFonts w:ascii="宋体" w:eastAsia="宋体" w:hAnsi="宋体" w:cs="Times New Roman"/>
          <w:sz w:val="24"/>
        </w:rPr>
        <w:t>20</w:t>
      </w:r>
      <w:r w:rsidR="00245D63">
        <w:rPr>
          <w:rFonts w:ascii="宋体" w:eastAsia="宋体" w:hAnsi="宋体" w:cs="Times New Roman"/>
          <w:sz w:val="24"/>
        </w:rPr>
        <w:t>23</w:t>
      </w:r>
      <w:r>
        <w:rPr>
          <w:rFonts w:ascii="宋体" w:eastAsia="宋体" w:hAnsi="宋体" w:cs="Times New Roman"/>
          <w:sz w:val="24"/>
        </w:rPr>
        <w:t>年年度实现归属于</w:t>
      </w:r>
      <w:r w:rsidR="00A23F09">
        <w:rPr>
          <w:rFonts w:ascii="宋体" w:eastAsia="宋体" w:hAnsi="宋体" w:cs="Times New Roman"/>
          <w:sz w:val="24"/>
        </w:rPr>
        <w:t>母公司所有者</w:t>
      </w:r>
      <w:r>
        <w:rPr>
          <w:rFonts w:ascii="宋体" w:eastAsia="宋体" w:hAnsi="宋体" w:cs="Times New Roman"/>
          <w:sz w:val="24"/>
        </w:rPr>
        <w:t>的净利润</w:t>
      </w:r>
      <w:r w:rsidR="00C72055" w:rsidRPr="005D55B5">
        <w:rPr>
          <w:rFonts w:ascii="宋体" w:eastAsia="宋体" w:hAnsi="宋体" w:cs="宋体"/>
          <w:sz w:val="24"/>
          <w:szCs w:val="24"/>
        </w:rPr>
        <w:t>6</w:t>
      </w:r>
      <w:r w:rsidR="00C72055" w:rsidRPr="007A2C15">
        <w:rPr>
          <w:rFonts w:ascii="宋体" w:eastAsia="宋体" w:hAnsi="宋体" w:cs="宋体"/>
          <w:sz w:val="24"/>
          <w:szCs w:val="24"/>
        </w:rPr>
        <w:t>0,000</w:t>
      </w:r>
      <w:r w:rsidR="00A23F09" w:rsidRPr="007A2C15">
        <w:rPr>
          <w:rFonts w:ascii="宋体" w:eastAsia="宋体" w:hAnsi="宋体" w:cs="Times New Roman"/>
          <w:sz w:val="24"/>
        </w:rPr>
        <w:t>万元到</w:t>
      </w:r>
      <w:r w:rsidR="00C72055" w:rsidRPr="007A2C15">
        <w:rPr>
          <w:rFonts w:ascii="宋体" w:eastAsia="宋体" w:hAnsi="宋体" w:cs="宋体"/>
          <w:sz w:val="24"/>
          <w:szCs w:val="24"/>
        </w:rPr>
        <w:t>68,000</w:t>
      </w:r>
      <w:r w:rsidR="00A23F09" w:rsidRPr="007A2C15">
        <w:rPr>
          <w:rFonts w:ascii="宋体" w:eastAsia="宋体" w:hAnsi="宋体" w:cs="Times New Roman"/>
          <w:sz w:val="24"/>
        </w:rPr>
        <w:t>万元，</w:t>
      </w:r>
      <w:r w:rsidRPr="007A2C15">
        <w:rPr>
          <w:rFonts w:ascii="宋体" w:eastAsia="宋体" w:hAnsi="宋体" w:cs="Times New Roman"/>
          <w:sz w:val="24"/>
        </w:rPr>
        <w:t>与</w:t>
      </w:r>
      <w:r w:rsidRPr="007A2C15">
        <w:rPr>
          <w:rFonts w:ascii="宋体" w:eastAsia="宋体" w:hAnsi="宋体" w:cs="Times New Roman"/>
          <w:sz w:val="24"/>
          <w:szCs w:val="24"/>
        </w:rPr>
        <w:t>上年同期相比，将减少</w:t>
      </w:r>
      <w:r w:rsidR="008E4B5E" w:rsidRPr="007A2C15">
        <w:rPr>
          <w:rFonts w:ascii="宋体" w:eastAsia="宋体" w:hAnsi="宋体" w:cs="宋体"/>
          <w:sz w:val="24"/>
          <w:szCs w:val="24"/>
        </w:rPr>
        <w:t>101,843.66</w:t>
      </w:r>
      <w:r w:rsidRPr="007A2C15">
        <w:rPr>
          <w:rFonts w:ascii="宋体" w:eastAsia="宋体" w:hAnsi="宋体" w:cs="Times New Roman"/>
          <w:sz w:val="24"/>
        </w:rPr>
        <w:t>万元到</w:t>
      </w:r>
      <w:r w:rsidR="008E4B5E" w:rsidRPr="007A2C15">
        <w:rPr>
          <w:rFonts w:ascii="宋体" w:eastAsia="宋体" w:hAnsi="宋体" w:cs="宋体"/>
          <w:sz w:val="24"/>
          <w:szCs w:val="24"/>
        </w:rPr>
        <w:t>109,843.66</w:t>
      </w:r>
      <w:r w:rsidRPr="007A2C15">
        <w:rPr>
          <w:rFonts w:ascii="宋体" w:eastAsia="宋体" w:hAnsi="宋体" w:cs="Times New Roman"/>
          <w:sz w:val="24"/>
        </w:rPr>
        <w:t>万元，同比减少</w:t>
      </w:r>
      <w:r w:rsidR="00C72055" w:rsidRPr="007A2C15">
        <w:rPr>
          <w:rFonts w:ascii="宋体" w:eastAsia="宋体" w:hAnsi="宋体" w:cs="宋体"/>
          <w:sz w:val="24"/>
          <w:szCs w:val="24"/>
        </w:rPr>
        <w:t>59.96</w:t>
      </w:r>
      <w:r w:rsidR="00C72055" w:rsidRPr="007A2C15">
        <w:rPr>
          <w:rFonts w:ascii="宋体" w:eastAsia="宋体" w:hAnsi="宋体" w:cs="Times New Roman"/>
          <w:sz w:val="24"/>
        </w:rPr>
        <w:t>%</w:t>
      </w:r>
      <w:r w:rsidRPr="007A2C15">
        <w:rPr>
          <w:rFonts w:ascii="宋体" w:eastAsia="宋体" w:hAnsi="宋体" w:cs="Times New Roman"/>
          <w:sz w:val="24"/>
        </w:rPr>
        <w:t>到</w:t>
      </w:r>
      <w:r w:rsidR="00C72055" w:rsidRPr="007A2C15">
        <w:rPr>
          <w:rFonts w:ascii="宋体" w:eastAsia="宋体" w:hAnsi="宋体" w:cs="宋体"/>
          <w:sz w:val="24"/>
          <w:szCs w:val="24"/>
        </w:rPr>
        <w:t>64.67</w:t>
      </w:r>
      <w:r w:rsidR="00C72055" w:rsidRPr="007A2C15">
        <w:rPr>
          <w:rFonts w:ascii="宋体" w:eastAsia="宋体" w:hAnsi="宋体" w:cs="Times New Roman"/>
          <w:sz w:val="24"/>
        </w:rPr>
        <w:t>%</w:t>
      </w:r>
      <w:r w:rsidRPr="007A2C15">
        <w:rPr>
          <w:rFonts w:ascii="宋体" w:eastAsia="宋体" w:hAnsi="宋体" w:cs="Times New Roman"/>
          <w:sz w:val="24"/>
        </w:rPr>
        <w:t>。</w:t>
      </w:r>
    </w:p>
    <w:p w14:paraId="31CF0639" w14:textId="4381B773" w:rsidR="00DD54B2" w:rsidRDefault="00A82D15" w:rsidP="00AB1BB7">
      <w:pPr>
        <w:tabs>
          <w:tab w:val="left" w:pos="851"/>
        </w:tabs>
        <w:spacing w:line="360" w:lineRule="auto"/>
        <w:ind w:rightChars="-57" w:right="-114" w:firstLineChars="221" w:firstLine="530"/>
        <w:jc w:val="both"/>
        <w:rPr>
          <w:rFonts w:ascii="宋体" w:eastAsia="宋体" w:hAnsi="宋体" w:cs="Times New Roman"/>
          <w:sz w:val="24"/>
        </w:rPr>
      </w:pPr>
      <w:r w:rsidRPr="007A2C15">
        <w:rPr>
          <w:rFonts w:ascii="宋体" w:eastAsia="宋体" w:hAnsi="宋体" w:cs="Times New Roman"/>
          <w:sz w:val="24"/>
        </w:rPr>
        <w:t>2</w:t>
      </w:r>
      <w:r w:rsidR="00EF5524" w:rsidRPr="007A2C15">
        <w:rPr>
          <w:rFonts w:ascii="宋体" w:eastAsia="宋体" w:hAnsi="宋体" w:cs="Times New Roman" w:hint="eastAsia"/>
          <w:sz w:val="24"/>
        </w:rPr>
        <w:t>、</w:t>
      </w:r>
      <w:r w:rsidR="00A23F09" w:rsidRPr="007A2C15">
        <w:rPr>
          <w:rFonts w:ascii="宋体" w:eastAsia="宋体" w:hAnsi="宋体" w:cs="Times New Roman" w:hint="eastAsia"/>
          <w:sz w:val="24"/>
        </w:rPr>
        <w:t>预计公司2</w:t>
      </w:r>
      <w:r w:rsidR="00A23F09" w:rsidRPr="007A2C15">
        <w:rPr>
          <w:rFonts w:ascii="宋体" w:eastAsia="宋体" w:hAnsi="宋体" w:cs="Times New Roman"/>
          <w:sz w:val="24"/>
        </w:rPr>
        <w:t>023年</w:t>
      </w:r>
      <w:r w:rsidR="00107462" w:rsidRPr="007A2C15">
        <w:rPr>
          <w:rFonts w:ascii="宋体" w:eastAsia="宋体" w:hAnsi="宋体" w:cs="Times New Roman"/>
          <w:sz w:val="24"/>
        </w:rPr>
        <w:t>年</w:t>
      </w:r>
      <w:r w:rsidR="00A23F09" w:rsidRPr="007A2C15">
        <w:rPr>
          <w:rFonts w:ascii="宋体" w:eastAsia="宋体" w:hAnsi="宋体" w:cs="Times New Roman"/>
          <w:sz w:val="24"/>
        </w:rPr>
        <w:t>度实现</w:t>
      </w:r>
      <w:r w:rsidRPr="007A2C15">
        <w:rPr>
          <w:rFonts w:ascii="宋体" w:eastAsia="宋体" w:hAnsi="宋体" w:cs="Times New Roman"/>
          <w:sz w:val="24"/>
        </w:rPr>
        <w:t>归属于</w:t>
      </w:r>
      <w:r w:rsidR="00A23F09" w:rsidRPr="007A2C15">
        <w:rPr>
          <w:rFonts w:ascii="宋体" w:eastAsia="宋体" w:hAnsi="宋体" w:cs="Times New Roman"/>
          <w:sz w:val="24"/>
        </w:rPr>
        <w:t>母公司所有者</w:t>
      </w:r>
      <w:r w:rsidRPr="007A2C15">
        <w:rPr>
          <w:rFonts w:ascii="宋体" w:eastAsia="宋体" w:hAnsi="宋体" w:cs="Times New Roman"/>
          <w:sz w:val="24"/>
        </w:rPr>
        <w:t>的扣除非经常性损益的净利润</w:t>
      </w:r>
      <w:r w:rsidR="00285698" w:rsidRPr="007A2C15">
        <w:rPr>
          <w:rFonts w:ascii="宋体" w:eastAsia="宋体" w:hAnsi="宋体" w:cs="宋体"/>
          <w:sz w:val="24"/>
          <w:szCs w:val="24"/>
        </w:rPr>
        <w:t>43,600</w:t>
      </w:r>
      <w:r w:rsidR="00A23F09" w:rsidRPr="007A2C15">
        <w:rPr>
          <w:rFonts w:ascii="宋体" w:eastAsia="宋体" w:hAnsi="宋体" w:cs="Times New Roman"/>
          <w:sz w:val="24"/>
        </w:rPr>
        <w:t>万元到</w:t>
      </w:r>
      <w:r w:rsidR="00285698" w:rsidRPr="007A2C15">
        <w:rPr>
          <w:rFonts w:ascii="宋体" w:eastAsia="宋体" w:hAnsi="宋体" w:cs="宋体"/>
          <w:sz w:val="24"/>
          <w:szCs w:val="24"/>
        </w:rPr>
        <w:t>51,600</w:t>
      </w:r>
      <w:r w:rsidR="00A23F09" w:rsidRPr="007A2C15">
        <w:rPr>
          <w:rFonts w:ascii="宋体" w:eastAsia="宋体" w:hAnsi="宋体" w:cs="Times New Roman"/>
          <w:sz w:val="24"/>
        </w:rPr>
        <w:t>万元，</w:t>
      </w:r>
      <w:r w:rsidRPr="007A2C15">
        <w:rPr>
          <w:rFonts w:ascii="宋体" w:eastAsia="宋体" w:hAnsi="宋体" w:cs="Times New Roman"/>
          <w:sz w:val="24"/>
        </w:rPr>
        <w:t>与上年同期相比，将减少</w:t>
      </w:r>
      <w:r w:rsidR="00D4359E" w:rsidRPr="007A2C15">
        <w:rPr>
          <w:rFonts w:ascii="宋体" w:eastAsia="宋体" w:hAnsi="宋体" w:cs="宋体"/>
          <w:sz w:val="24"/>
          <w:szCs w:val="24"/>
        </w:rPr>
        <w:t>111,019.35</w:t>
      </w:r>
      <w:r w:rsidRPr="007A2C15">
        <w:rPr>
          <w:rFonts w:ascii="宋体" w:eastAsia="宋体" w:hAnsi="宋体" w:cs="Times New Roman"/>
          <w:sz w:val="24"/>
        </w:rPr>
        <w:t>万元到</w:t>
      </w:r>
      <w:r w:rsidR="00D4359E" w:rsidRPr="007A2C15">
        <w:rPr>
          <w:rFonts w:ascii="宋体" w:eastAsia="宋体" w:hAnsi="宋体" w:cs="宋体"/>
          <w:sz w:val="24"/>
          <w:szCs w:val="24"/>
        </w:rPr>
        <w:t>119,019.35</w:t>
      </w:r>
      <w:r w:rsidRPr="007A2C15">
        <w:rPr>
          <w:rFonts w:ascii="宋体" w:eastAsia="宋体" w:hAnsi="宋体" w:cs="Times New Roman"/>
          <w:sz w:val="24"/>
        </w:rPr>
        <w:t>万元，同比减少</w:t>
      </w:r>
      <w:r w:rsidR="00285698" w:rsidRPr="007A2C15">
        <w:rPr>
          <w:rFonts w:ascii="宋体" w:eastAsia="宋体" w:hAnsi="宋体" w:cs="宋体"/>
          <w:sz w:val="24"/>
          <w:szCs w:val="24"/>
        </w:rPr>
        <w:t>68.27</w:t>
      </w:r>
      <w:r w:rsidRPr="007A2C15">
        <w:rPr>
          <w:rFonts w:ascii="宋体" w:eastAsia="宋体" w:hAnsi="宋体" w:cs="Times New Roman"/>
          <w:sz w:val="24"/>
        </w:rPr>
        <w:t>%到</w:t>
      </w:r>
      <w:r w:rsidR="009F6617" w:rsidRPr="007A2C15">
        <w:rPr>
          <w:rFonts w:ascii="宋体" w:eastAsia="宋体" w:hAnsi="宋体" w:cs="宋体"/>
          <w:sz w:val="24"/>
          <w:szCs w:val="24"/>
        </w:rPr>
        <w:t>73.19</w:t>
      </w:r>
      <w:r w:rsidR="009F6617" w:rsidRPr="007A2C15">
        <w:rPr>
          <w:rFonts w:ascii="宋体" w:eastAsia="宋体" w:hAnsi="宋体" w:cs="Times New Roman"/>
          <w:sz w:val="24"/>
        </w:rPr>
        <w:t>%</w:t>
      </w:r>
      <w:r w:rsidRPr="007A2C15">
        <w:rPr>
          <w:rFonts w:ascii="宋体" w:eastAsia="宋体" w:hAnsi="宋体" w:cs="Times New Roman"/>
          <w:sz w:val="24"/>
        </w:rPr>
        <w:t>。</w:t>
      </w:r>
    </w:p>
    <w:p w14:paraId="6E2E75FF" w14:textId="77777777" w:rsidR="00DD54B2" w:rsidRDefault="00A82D15" w:rsidP="00587A0C">
      <w:pPr>
        <w:tabs>
          <w:tab w:val="left" w:pos="851"/>
        </w:tabs>
        <w:spacing w:line="360" w:lineRule="auto"/>
        <w:ind w:leftChars="90" w:left="180" w:rightChars="-57" w:right="-114" w:firstLineChars="94" w:firstLine="226"/>
        <w:jc w:val="both"/>
        <w:rPr>
          <w:rFonts w:ascii="宋体" w:eastAsia="宋体" w:hAnsi="宋体" w:cs="Times New Roman"/>
          <w:sz w:val="24"/>
        </w:rPr>
      </w:pPr>
      <w:r>
        <w:rPr>
          <w:rFonts w:ascii="宋体" w:eastAsia="宋体" w:hAnsi="宋体" w:cs="Times New Roman"/>
          <w:sz w:val="24"/>
        </w:rPr>
        <w:t>（三）本次所预计的业绩未经注册会计师审计。</w:t>
      </w:r>
    </w:p>
    <w:p w14:paraId="0771A7CF" w14:textId="77777777" w:rsidR="00DD54B2" w:rsidRDefault="00A82D15" w:rsidP="009B3F4E">
      <w:pPr>
        <w:spacing w:beforeLines="50" w:before="120" w:afterLines="50" w:after="120" w:line="360" w:lineRule="auto"/>
        <w:ind w:left="420" w:firstLineChars="23" w:firstLine="55"/>
        <w:rPr>
          <w:rFonts w:ascii="宋体" w:eastAsia="宋体" w:hAnsi="宋体" w:cs="Times New Roman"/>
          <w:b/>
          <w:sz w:val="24"/>
        </w:rPr>
      </w:pPr>
      <w:r>
        <w:rPr>
          <w:rFonts w:ascii="宋体" w:eastAsia="宋体" w:hAnsi="宋体" w:cs="Times New Roman"/>
          <w:b/>
          <w:sz w:val="24"/>
        </w:rPr>
        <w:t>二、上年同期业绩情况</w:t>
      </w:r>
    </w:p>
    <w:p w14:paraId="2E3F6088" w14:textId="425361CA" w:rsidR="00DD54B2" w:rsidRPr="005778EA" w:rsidRDefault="00A82D15" w:rsidP="007241D6">
      <w:pPr>
        <w:tabs>
          <w:tab w:val="left" w:pos="851"/>
        </w:tabs>
        <w:spacing w:line="360" w:lineRule="auto"/>
        <w:ind w:rightChars="-78" w:right="-156" w:firstLineChars="163" w:firstLine="391"/>
        <w:jc w:val="both"/>
        <w:rPr>
          <w:rFonts w:ascii="宋体" w:eastAsia="宋体" w:hAnsi="宋体" w:cs="Times New Roman"/>
          <w:sz w:val="24"/>
        </w:rPr>
      </w:pPr>
      <w:r>
        <w:rPr>
          <w:rFonts w:ascii="宋体" w:eastAsia="宋体" w:hAnsi="宋体" w:cs="Times New Roman"/>
          <w:sz w:val="24"/>
        </w:rPr>
        <w:lastRenderedPageBreak/>
        <w:t>（一）归属于</w:t>
      </w:r>
      <w:r w:rsidR="00A23F09">
        <w:rPr>
          <w:rFonts w:ascii="宋体" w:eastAsia="宋体" w:hAnsi="宋体" w:cs="Times New Roman"/>
          <w:sz w:val="24"/>
        </w:rPr>
        <w:t>母</w:t>
      </w:r>
      <w:r w:rsidR="00A23F09" w:rsidRPr="005778EA">
        <w:rPr>
          <w:rFonts w:ascii="宋体" w:eastAsia="宋体" w:hAnsi="宋体" w:cs="Times New Roman"/>
          <w:sz w:val="24"/>
        </w:rPr>
        <w:t>公司所有者</w:t>
      </w:r>
      <w:r w:rsidRPr="005778EA">
        <w:rPr>
          <w:rFonts w:ascii="宋体" w:eastAsia="宋体" w:hAnsi="宋体" w:cs="Times New Roman"/>
          <w:sz w:val="24"/>
        </w:rPr>
        <w:t>的净利润：</w:t>
      </w:r>
      <w:r w:rsidR="005778EA" w:rsidRPr="005778EA">
        <w:rPr>
          <w:rFonts w:ascii="宋体" w:eastAsia="宋体" w:hAnsi="宋体" w:cs="宋体"/>
          <w:sz w:val="24"/>
          <w:szCs w:val="24"/>
        </w:rPr>
        <w:t>169,843.66</w:t>
      </w:r>
      <w:r w:rsidRPr="005778EA">
        <w:rPr>
          <w:rFonts w:ascii="宋体" w:eastAsia="宋体" w:hAnsi="宋体" w:cs="Times New Roman"/>
          <w:sz w:val="24"/>
        </w:rPr>
        <w:t>万元。归属于</w:t>
      </w:r>
      <w:r w:rsidR="00A23F09" w:rsidRPr="005778EA">
        <w:rPr>
          <w:rFonts w:ascii="宋体" w:eastAsia="宋体" w:hAnsi="宋体" w:cs="Times New Roman"/>
          <w:sz w:val="24"/>
        </w:rPr>
        <w:t>母公司所有者</w:t>
      </w:r>
      <w:r w:rsidRPr="005778EA">
        <w:rPr>
          <w:rFonts w:ascii="宋体" w:eastAsia="宋体" w:hAnsi="宋体" w:cs="Times New Roman"/>
          <w:sz w:val="24"/>
        </w:rPr>
        <w:t>的扣除非经常性损益的净利润：</w:t>
      </w:r>
      <w:r w:rsidR="005778EA" w:rsidRPr="005778EA">
        <w:rPr>
          <w:rFonts w:ascii="宋体" w:eastAsia="宋体" w:hAnsi="宋体" w:cs="宋体"/>
          <w:sz w:val="24"/>
          <w:szCs w:val="24"/>
        </w:rPr>
        <w:t>162,619.35</w:t>
      </w:r>
      <w:r w:rsidRPr="005778EA">
        <w:rPr>
          <w:rFonts w:ascii="宋体" w:eastAsia="宋体" w:hAnsi="宋体" w:cs="Times New Roman"/>
          <w:sz w:val="24"/>
        </w:rPr>
        <w:t>万元。</w:t>
      </w:r>
    </w:p>
    <w:p w14:paraId="5066FAF3" w14:textId="6413A1B0" w:rsidR="00DD54B2" w:rsidRDefault="00A82D15" w:rsidP="007241D6">
      <w:pPr>
        <w:pStyle w:val="af0"/>
        <w:spacing w:line="360" w:lineRule="auto"/>
        <w:ind w:leftChars="14" w:left="28" w:rightChars="-78" w:right="-156" w:firstLineChars="145" w:firstLine="348"/>
        <w:rPr>
          <w:rFonts w:ascii="宋体" w:eastAsia="宋体" w:hAnsi="宋体" w:cs="Times New Roman"/>
          <w:sz w:val="24"/>
        </w:rPr>
      </w:pPr>
      <w:r w:rsidRPr="005778EA">
        <w:rPr>
          <w:rFonts w:ascii="宋体" w:eastAsia="宋体" w:hAnsi="宋体" w:cs="Times New Roman"/>
          <w:sz w:val="24"/>
        </w:rPr>
        <w:t>（二）每股收益：</w:t>
      </w:r>
      <w:r w:rsidR="003667BA" w:rsidRPr="005778EA">
        <w:rPr>
          <w:rFonts w:ascii="宋体" w:eastAsia="宋体" w:hAnsi="宋体" w:cs="宋体" w:hint="eastAsia"/>
          <w:sz w:val="24"/>
          <w:szCs w:val="24"/>
        </w:rPr>
        <w:t>3</w:t>
      </w:r>
      <w:r w:rsidR="003667BA" w:rsidRPr="005778EA">
        <w:rPr>
          <w:rFonts w:ascii="宋体" w:eastAsia="宋体" w:hAnsi="宋体" w:cs="宋体"/>
          <w:sz w:val="24"/>
          <w:szCs w:val="24"/>
        </w:rPr>
        <w:t>.02</w:t>
      </w:r>
      <w:r w:rsidRPr="005778EA">
        <w:rPr>
          <w:rFonts w:ascii="宋体" w:eastAsia="宋体" w:hAnsi="宋体" w:cs="Times New Roman"/>
          <w:sz w:val="24"/>
        </w:rPr>
        <w:t>元</w:t>
      </w:r>
      <w:r w:rsidRPr="005778EA">
        <w:rPr>
          <w:rFonts w:ascii="宋体" w:eastAsia="宋体" w:hAnsi="宋体" w:cs="Times New Roman"/>
          <w:kern w:val="0"/>
          <w:sz w:val="24"/>
          <w:szCs w:val="20"/>
        </w:rPr>
        <w:t>。</w:t>
      </w:r>
    </w:p>
    <w:p w14:paraId="50EBF470" w14:textId="77777777" w:rsidR="00DD54B2" w:rsidRDefault="00A82D15">
      <w:pPr>
        <w:spacing w:beforeLines="50" w:before="120" w:afterLines="50" w:after="120"/>
        <w:ind w:leftChars="-7" w:left="-14" w:rightChars="-57" w:right="-114" w:firstLineChars="235" w:firstLine="566"/>
        <w:jc w:val="both"/>
        <w:rPr>
          <w:rFonts w:ascii="宋体" w:eastAsia="宋体" w:hAnsi="宋体" w:cs="Times New Roman"/>
          <w:b/>
          <w:sz w:val="24"/>
        </w:rPr>
      </w:pPr>
      <w:r w:rsidRPr="004A5ED7">
        <w:rPr>
          <w:rFonts w:ascii="宋体" w:eastAsia="宋体" w:hAnsi="宋体" w:cs="Times New Roman"/>
          <w:b/>
          <w:sz w:val="24"/>
        </w:rPr>
        <w:t>三、本期业绩预减的主要原因</w:t>
      </w:r>
    </w:p>
    <w:p w14:paraId="51BD3E4F" w14:textId="4EE070BC" w:rsidR="004A5ED7" w:rsidRDefault="004A5ED7" w:rsidP="004A5ED7">
      <w:pPr>
        <w:spacing w:beforeLines="100" w:before="240" w:afterLines="50" w:after="120" w:line="360" w:lineRule="auto"/>
        <w:ind w:leftChars="-7" w:left="-14" w:rightChars="-57" w:right="-114" w:firstLineChars="169" w:firstLine="406"/>
        <w:jc w:val="both"/>
        <w:rPr>
          <w:rFonts w:ascii="宋体" w:eastAsia="宋体" w:hAnsi="宋体" w:cs="Times New Roman"/>
          <w:sz w:val="24"/>
        </w:rPr>
      </w:pPr>
      <w:r>
        <w:rPr>
          <w:rFonts w:ascii="宋体" w:eastAsia="宋体" w:cs="宋体" w:hint="eastAsia"/>
          <w:sz w:val="24"/>
          <w:szCs w:val="24"/>
        </w:rPr>
        <w:t>（一）报告期内，受国内行业</w:t>
      </w:r>
      <w:r w:rsidR="004D616B">
        <w:rPr>
          <w:rFonts w:ascii="宋体" w:eastAsia="宋体" w:cs="宋体" w:hint="eastAsia"/>
          <w:sz w:val="24"/>
          <w:szCs w:val="24"/>
        </w:rPr>
        <w:t>产品</w:t>
      </w:r>
      <w:r>
        <w:rPr>
          <w:rFonts w:ascii="宋体" w:eastAsia="宋体" w:cs="宋体" w:hint="eastAsia"/>
          <w:sz w:val="24"/>
          <w:szCs w:val="24"/>
        </w:rPr>
        <w:t>均价下行影响，公司扫地机器人及洗地机产品毛利率水平均较上年同期有所下降，叠加公司在国内扫地机器人市场中低价格段降本款产品布局有所缺失，从而对公司整体盈利能力造成影响。</w:t>
      </w:r>
    </w:p>
    <w:p w14:paraId="186A4BE1" w14:textId="57053699" w:rsidR="004A5ED7" w:rsidRDefault="004A5ED7" w:rsidP="004A5ED7">
      <w:pPr>
        <w:spacing w:beforeLines="100" w:before="240" w:afterLines="50" w:after="120" w:line="360" w:lineRule="auto"/>
        <w:ind w:leftChars="-7" w:left="-14" w:rightChars="-57" w:right="-114" w:firstLineChars="169" w:firstLine="406"/>
        <w:jc w:val="both"/>
        <w:rPr>
          <w:rFonts w:ascii="宋体" w:eastAsia="宋体" w:hAnsi="宋体" w:cs="Times New Roman"/>
          <w:sz w:val="24"/>
        </w:rPr>
      </w:pPr>
      <w:r>
        <w:rPr>
          <w:rFonts w:ascii="宋体" w:eastAsia="宋体" w:cs="宋体" w:hint="eastAsia"/>
          <w:sz w:val="24"/>
          <w:szCs w:val="24"/>
        </w:rPr>
        <w:t>（二）报告期内，受宏观经济影响，国内消费景气度偏弱，叠加行业竞争加剧，线上渠道结构变化，导致市场投入转化效率有所下降，公司销售费用占收入比重较上</w:t>
      </w:r>
      <w:r w:rsidR="004D616B">
        <w:rPr>
          <w:rFonts w:ascii="宋体" w:eastAsia="宋体" w:cs="宋体" w:hint="eastAsia"/>
          <w:sz w:val="24"/>
          <w:szCs w:val="24"/>
        </w:rPr>
        <w:t>年同期有所增加，</w:t>
      </w:r>
      <w:r>
        <w:rPr>
          <w:rFonts w:ascii="宋体" w:eastAsia="宋体" w:cs="宋体" w:hint="eastAsia"/>
          <w:sz w:val="24"/>
          <w:szCs w:val="24"/>
        </w:rPr>
        <w:t>降低了公司整体盈利能力。</w:t>
      </w:r>
    </w:p>
    <w:p w14:paraId="3FFED856" w14:textId="3A73F383" w:rsidR="004A5ED7" w:rsidRDefault="004A5ED7" w:rsidP="004A5ED7">
      <w:pPr>
        <w:spacing w:beforeLines="100" w:before="240" w:afterLines="50" w:after="120" w:line="360" w:lineRule="auto"/>
        <w:ind w:leftChars="-7" w:left="-14" w:rightChars="-57" w:right="-114" w:firstLineChars="169" w:firstLine="406"/>
        <w:jc w:val="both"/>
        <w:rPr>
          <w:rFonts w:ascii="宋体" w:eastAsia="宋体" w:cs="宋体"/>
          <w:sz w:val="24"/>
          <w:szCs w:val="24"/>
        </w:rPr>
      </w:pPr>
      <w:r>
        <w:rPr>
          <w:rFonts w:ascii="宋体" w:eastAsia="宋体" w:cs="宋体" w:hint="eastAsia"/>
          <w:sz w:val="24"/>
          <w:szCs w:val="24"/>
        </w:rPr>
        <w:t>（三）报告期内，公司商用清洁机器人，割草机器人，食万智能料理机等新品类处于净投入期，产品研发及市场推广投入显著，压低了公司整体利润表现。预计报告期内公司对上述新业务的净投入合计约为</w:t>
      </w:r>
      <w:r>
        <w:rPr>
          <w:rFonts w:ascii="宋体" w:eastAsia="宋体" w:cs="宋体"/>
          <w:sz w:val="24"/>
          <w:szCs w:val="24"/>
        </w:rPr>
        <w:t>3.0</w:t>
      </w:r>
      <w:r>
        <w:rPr>
          <w:rFonts w:ascii="宋体" w:eastAsia="宋体" w:cs="宋体" w:hint="eastAsia"/>
          <w:sz w:val="24"/>
          <w:szCs w:val="24"/>
        </w:rPr>
        <w:t>亿元人民币。</w:t>
      </w:r>
    </w:p>
    <w:p w14:paraId="6DF858B5" w14:textId="712161B0" w:rsidR="004A5ED7" w:rsidRPr="004A5ED7" w:rsidRDefault="004A5ED7" w:rsidP="004A5ED7">
      <w:pPr>
        <w:spacing w:beforeLines="100" w:before="240" w:afterLines="50" w:after="120" w:line="360" w:lineRule="auto"/>
        <w:ind w:left="14" w:right="-143" w:firstLineChars="180" w:firstLine="432"/>
        <w:rPr>
          <w:rFonts w:ascii="宋体" w:eastAsia="宋体" w:hAnsi="宋体" w:cs="Times New Roman" w:hint="eastAsia"/>
          <w:sz w:val="24"/>
        </w:rPr>
      </w:pPr>
      <w:r w:rsidRPr="004A5ED7">
        <w:rPr>
          <w:rFonts w:ascii="宋体" w:eastAsia="宋体" w:hAnsi="宋体" w:cs="Times New Roman" w:hint="eastAsia"/>
          <w:sz w:val="24"/>
        </w:rPr>
        <w:t>报告期内，尽管面对一系列充满挑战的市场环境，公司总体收入规模预计仍有小幅上涨，海外业务整体市占率和营收占比亦均稳步提升，割草机器人在欧洲市场上市第一年即超出既定经营目标，为</w:t>
      </w:r>
      <w:r w:rsidRPr="004A5ED7">
        <w:rPr>
          <w:rFonts w:ascii="宋体" w:eastAsia="宋体" w:hAnsi="宋体" w:cs="Times New Roman"/>
          <w:sz w:val="24"/>
        </w:rPr>
        <w:t xml:space="preserve">2024 </w:t>
      </w:r>
      <w:r>
        <w:rPr>
          <w:rFonts w:ascii="宋体" w:eastAsia="宋体" w:hAnsi="宋体" w:cs="Times New Roman" w:hint="eastAsia"/>
          <w:sz w:val="24"/>
        </w:rPr>
        <w:t>年快速增长打下</w:t>
      </w:r>
      <w:r w:rsidRPr="004A5ED7">
        <w:rPr>
          <w:rFonts w:ascii="宋体" w:eastAsia="宋体" w:hAnsi="宋体" w:cs="Times New Roman" w:hint="eastAsia"/>
          <w:sz w:val="24"/>
        </w:rPr>
        <w:t>坚实基础。</w:t>
      </w:r>
      <w:r w:rsidRPr="004A5ED7">
        <w:rPr>
          <w:rFonts w:ascii="宋体" w:eastAsia="宋体" w:hAnsi="宋体" w:cs="Times New Roman"/>
          <w:sz w:val="24"/>
        </w:rPr>
        <w:t>2024</w:t>
      </w:r>
      <w:r w:rsidRPr="004A5ED7">
        <w:rPr>
          <w:rFonts w:ascii="宋体" w:eastAsia="宋体" w:hAnsi="宋体" w:cs="Times New Roman" w:hint="eastAsia"/>
          <w:sz w:val="24"/>
        </w:rPr>
        <w:t>年，面对国内外新的经济环境和竞争态势，公司在总结</w:t>
      </w:r>
      <w:r w:rsidRPr="004A5ED7">
        <w:rPr>
          <w:rFonts w:ascii="宋体" w:eastAsia="宋体" w:hAnsi="宋体" w:cs="Times New Roman"/>
          <w:sz w:val="24"/>
        </w:rPr>
        <w:t xml:space="preserve">2023 </w:t>
      </w:r>
      <w:r w:rsidRPr="004A5ED7">
        <w:rPr>
          <w:rFonts w:ascii="宋体" w:eastAsia="宋体" w:hAnsi="宋体" w:cs="Times New Roman" w:hint="eastAsia"/>
          <w:sz w:val="24"/>
        </w:rPr>
        <w:t>年经营得失基础上，将持续推动海外业务成长和占比提</w:t>
      </w:r>
      <w:r w:rsidR="00587697">
        <w:rPr>
          <w:rFonts w:ascii="宋体" w:eastAsia="宋体" w:hAnsi="宋体" w:cs="Times New Roman" w:hint="eastAsia"/>
          <w:sz w:val="24"/>
        </w:rPr>
        <w:t>升。在积极控制新业务投入水平同时，</w:t>
      </w:r>
      <w:r w:rsidRPr="004A5ED7">
        <w:rPr>
          <w:rFonts w:ascii="宋体" w:eastAsia="宋体" w:hAnsi="宋体" w:cs="Times New Roman" w:hint="eastAsia"/>
          <w:sz w:val="24"/>
        </w:rPr>
        <w:t>大</w:t>
      </w:r>
      <w:r>
        <w:rPr>
          <w:rFonts w:ascii="宋体" w:eastAsia="宋体" w:hAnsi="宋体" w:cs="Times New Roman" w:hint="eastAsia"/>
          <w:sz w:val="24"/>
        </w:rPr>
        <w:t>力丰富主营业务产品矩阵和价格段覆盖，引导并满足不同消费群体</w:t>
      </w:r>
      <w:r w:rsidRPr="004A5ED7">
        <w:rPr>
          <w:rFonts w:ascii="宋体" w:eastAsia="宋体" w:hAnsi="宋体" w:cs="Times New Roman" w:hint="eastAsia"/>
          <w:sz w:val="24"/>
        </w:rPr>
        <w:t>需求，在确保产品技</w:t>
      </w:r>
      <w:r>
        <w:rPr>
          <w:rFonts w:ascii="宋体" w:eastAsia="宋体" w:hAnsi="宋体" w:cs="Times New Roman" w:hint="eastAsia"/>
          <w:sz w:val="24"/>
        </w:rPr>
        <w:t>术功能领先</w:t>
      </w:r>
      <w:r w:rsidRPr="004A5ED7">
        <w:rPr>
          <w:rFonts w:ascii="宋体" w:eastAsia="宋体" w:hAnsi="宋体" w:cs="Times New Roman" w:hint="eastAsia"/>
          <w:sz w:val="24"/>
        </w:rPr>
        <w:t>基础上，通过更有效的降本举措在产品均价下行周期内提升综合毛利率水平，推动公司经营业绩显著改善。</w:t>
      </w:r>
    </w:p>
    <w:p w14:paraId="6AC6EF7C" w14:textId="77777777" w:rsidR="00DD54B2" w:rsidRDefault="00A82D15">
      <w:pPr>
        <w:spacing w:beforeLines="100" w:before="240" w:afterLines="50" w:after="120" w:line="360" w:lineRule="auto"/>
        <w:ind w:left="420"/>
        <w:rPr>
          <w:rFonts w:ascii="宋体" w:eastAsia="宋体" w:hAnsi="宋体" w:cs="Times New Roman"/>
          <w:b/>
          <w:sz w:val="24"/>
        </w:rPr>
      </w:pPr>
      <w:r w:rsidRPr="004A5ED7">
        <w:rPr>
          <w:rFonts w:ascii="宋体" w:eastAsia="宋体" w:hAnsi="宋体" w:cs="Times New Roman"/>
          <w:b/>
          <w:sz w:val="24"/>
        </w:rPr>
        <w:t>四、风险提示</w:t>
      </w:r>
    </w:p>
    <w:p w14:paraId="6CDE4DA6" w14:textId="77777777" w:rsidR="00DD54B2" w:rsidRDefault="00A82D15">
      <w:pPr>
        <w:spacing w:line="360" w:lineRule="auto"/>
        <w:ind w:firstLineChars="200" w:firstLine="480"/>
        <w:rPr>
          <w:rFonts w:ascii="宋体" w:eastAsia="宋体" w:hAnsi="宋体" w:cs="Times New Roman"/>
          <w:sz w:val="24"/>
        </w:rPr>
      </w:pPr>
      <w:r>
        <w:rPr>
          <w:rFonts w:ascii="宋体" w:eastAsia="宋体" w:hAnsi="宋体" w:cs="Times New Roman"/>
          <w:sz w:val="24"/>
        </w:rPr>
        <w:t>公司不存在影响本次业绩预告内容准确性的重大不确定因素。</w:t>
      </w:r>
    </w:p>
    <w:p w14:paraId="2755CD38" w14:textId="77777777" w:rsidR="00DD54B2" w:rsidRDefault="00A82D15">
      <w:pPr>
        <w:spacing w:beforeLines="100" w:before="240" w:afterLines="50" w:after="120" w:line="360" w:lineRule="auto"/>
        <w:ind w:left="420"/>
        <w:rPr>
          <w:rFonts w:ascii="宋体" w:eastAsia="宋体" w:hAnsi="宋体" w:cs="Times New Roman"/>
          <w:b/>
          <w:sz w:val="24"/>
        </w:rPr>
      </w:pPr>
      <w:r>
        <w:rPr>
          <w:rFonts w:ascii="宋体" w:eastAsia="宋体" w:hAnsi="宋体" w:cs="Times New Roman"/>
          <w:b/>
          <w:sz w:val="24"/>
        </w:rPr>
        <w:t>五、其他说明事项</w:t>
      </w:r>
    </w:p>
    <w:p w14:paraId="21AEB72F" w14:textId="77777777" w:rsidR="00DD54B2" w:rsidRDefault="00A82D15">
      <w:pPr>
        <w:spacing w:beforeLines="100" w:before="240" w:afterLines="50" w:after="120" w:line="360" w:lineRule="auto"/>
        <w:ind w:left="14" w:right="-143" w:firstLineChars="180" w:firstLine="432"/>
        <w:rPr>
          <w:rFonts w:ascii="宋体" w:eastAsia="宋体" w:hAnsi="宋体" w:cs="Times New Roman"/>
          <w:sz w:val="24"/>
        </w:rPr>
      </w:pPr>
      <w:r>
        <w:rPr>
          <w:rFonts w:ascii="宋体" w:eastAsia="宋体" w:hAnsi="宋体" w:cs="Times New Roman"/>
          <w:sz w:val="24"/>
        </w:rPr>
        <w:t>以上预告数据仅为初步核算数据</w:t>
      </w:r>
      <w:r>
        <w:rPr>
          <w:rFonts w:ascii="宋体" w:eastAsia="宋体" w:hAnsi="宋体" w:cs="Times New Roman" w:hint="eastAsia"/>
          <w:sz w:val="24"/>
        </w:rPr>
        <w:t>，</w:t>
      </w:r>
      <w:r>
        <w:rPr>
          <w:rFonts w:ascii="宋体" w:eastAsia="宋体" w:hAnsi="宋体" w:cs="Times New Roman"/>
          <w:sz w:val="24"/>
        </w:rPr>
        <w:t>具体</w:t>
      </w:r>
      <w:bookmarkStart w:id="2" w:name="_GoBack"/>
      <w:bookmarkEnd w:id="2"/>
      <w:r>
        <w:rPr>
          <w:rFonts w:ascii="宋体" w:eastAsia="宋体" w:hAnsi="宋体" w:cs="Times New Roman"/>
          <w:sz w:val="24"/>
        </w:rPr>
        <w:t>准确的财务数据以公司正式披露的经审计后的20</w:t>
      </w:r>
      <w:r w:rsidR="005C7BAE">
        <w:rPr>
          <w:rFonts w:ascii="宋体" w:eastAsia="宋体" w:hAnsi="宋体" w:cs="Times New Roman"/>
          <w:sz w:val="24"/>
        </w:rPr>
        <w:t>23</w:t>
      </w:r>
      <w:r>
        <w:rPr>
          <w:rFonts w:ascii="宋体" w:eastAsia="宋体" w:hAnsi="宋体" w:cs="Times New Roman"/>
          <w:sz w:val="24"/>
        </w:rPr>
        <w:t xml:space="preserve"> 年</w:t>
      </w:r>
      <w:r>
        <w:rPr>
          <w:rFonts w:ascii="宋体" w:eastAsia="宋体" w:hAnsi="宋体" w:cs="Times New Roman"/>
          <w:sz w:val="24"/>
          <w:szCs w:val="24"/>
        </w:rPr>
        <w:t>年度报告为准</w:t>
      </w:r>
      <w:r>
        <w:rPr>
          <w:rFonts w:ascii="宋体" w:eastAsia="宋体" w:hAnsi="宋体" w:cs="Times New Roman"/>
          <w:sz w:val="24"/>
        </w:rPr>
        <w:t>，敬请广大投资者注意投资风险。</w:t>
      </w:r>
    </w:p>
    <w:p w14:paraId="46B657BF" w14:textId="77777777" w:rsidR="00DD54B2" w:rsidRDefault="00A82D15">
      <w:pPr>
        <w:spacing w:line="360" w:lineRule="auto"/>
        <w:ind w:firstLineChars="200" w:firstLine="480"/>
        <w:rPr>
          <w:rFonts w:ascii="宋体" w:eastAsia="宋体" w:hAnsi="宋体" w:cs="Times New Roman"/>
          <w:sz w:val="24"/>
        </w:rPr>
      </w:pPr>
      <w:r>
        <w:rPr>
          <w:rFonts w:ascii="宋体" w:eastAsia="宋体" w:hAnsi="宋体" w:cs="Times New Roman"/>
          <w:sz w:val="24"/>
        </w:rPr>
        <w:t>特此公告。</w:t>
      </w:r>
    </w:p>
    <w:p w14:paraId="5C5113C6" w14:textId="77777777" w:rsidR="00DD54B2" w:rsidRDefault="00A82D15">
      <w:pPr>
        <w:spacing w:beforeLines="200" w:before="480" w:line="360" w:lineRule="auto"/>
        <w:jc w:val="right"/>
        <w:rPr>
          <w:rFonts w:ascii="宋体" w:eastAsia="宋体" w:hAnsi="宋体" w:cs="Times New Roman"/>
        </w:rPr>
      </w:pPr>
      <w:r>
        <w:rPr>
          <w:rFonts w:ascii="宋体" w:eastAsia="宋体" w:hAnsi="宋体" w:cs="Times New Roman"/>
          <w:sz w:val="24"/>
        </w:rPr>
        <w:lastRenderedPageBreak/>
        <w:t>科沃斯机器人股份有限公司董事会</w:t>
      </w:r>
    </w:p>
    <w:p w14:paraId="2D708785" w14:textId="77777777" w:rsidR="00DD54B2" w:rsidRDefault="00A82D15">
      <w:pPr>
        <w:spacing w:line="360" w:lineRule="auto"/>
        <w:jc w:val="right"/>
        <w:rPr>
          <w:rFonts w:ascii="宋体" w:eastAsia="宋体" w:hAnsi="宋体" w:cs="Times New Roman"/>
          <w:sz w:val="24"/>
        </w:rPr>
      </w:pPr>
      <w:r>
        <w:rPr>
          <w:rFonts w:ascii="宋体" w:eastAsia="宋体" w:hAnsi="宋体" w:cs="Times New Roman"/>
          <w:sz w:val="24"/>
        </w:rPr>
        <w:t>20</w:t>
      </w:r>
      <w:r w:rsidR="005C7BAE">
        <w:rPr>
          <w:rFonts w:ascii="宋体" w:eastAsia="宋体" w:hAnsi="宋体" w:cs="Times New Roman"/>
          <w:sz w:val="24"/>
        </w:rPr>
        <w:t>24</w:t>
      </w:r>
      <w:r>
        <w:rPr>
          <w:rFonts w:ascii="宋体" w:eastAsia="宋体" w:hAnsi="宋体" w:cs="Times New Roman"/>
          <w:sz w:val="24"/>
        </w:rPr>
        <w:t xml:space="preserve">年 </w:t>
      </w:r>
      <w:r w:rsidRPr="00336485">
        <w:rPr>
          <w:rFonts w:ascii="宋体" w:eastAsia="宋体" w:hAnsi="宋体" w:cs="Times New Roman"/>
          <w:sz w:val="24"/>
        </w:rPr>
        <w:t>1月 31日</w:t>
      </w:r>
    </w:p>
    <w:sectPr w:rsidR="00DD54B2">
      <w:footerReference w:type="default" r:id="rId8"/>
      <w:pgSz w:w="11900" w:h="16838"/>
      <w:pgMar w:top="993" w:right="1552" w:bottom="1418" w:left="1560" w:header="0"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0D6B4" w14:textId="77777777" w:rsidR="006B00BD" w:rsidRDefault="006B00BD">
      <w:r>
        <w:separator/>
      </w:r>
    </w:p>
  </w:endnote>
  <w:endnote w:type="continuationSeparator" w:id="0">
    <w:p w14:paraId="65E36EFE" w14:textId="77777777" w:rsidR="006B00BD" w:rsidRDefault="006B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A15D5" w14:textId="14305C5F" w:rsidR="00DD54B2" w:rsidRDefault="00A82D15">
    <w:pPr>
      <w:pStyle w:val="ab"/>
      <w:jc w:val="center"/>
    </w:pPr>
    <w:r>
      <w:fldChar w:fldCharType="begin"/>
    </w:r>
    <w:r>
      <w:instrText>PAGE   \* MERGEFORMAT</w:instrText>
    </w:r>
    <w:r>
      <w:fldChar w:fldCharType="separate"/>
    </w:r>
    <w:r w:rsidR="00587697" w:rsidRPr="00587697">
      <w:rPr>
        <w:noProof/>
        <w:lang w:val="zh-CN"/>
      </w:rPr>
      <w:t>1</w:t>
    </w:r>
    <w:r>
      <w:fldChar w:fldCharType="end"/>
    </w:r>
  </w:p>
  <w:p w14:paraId="5EE47607" w14:textId="77777777" w:rsidR="00DD54B2" w:rsidRDefault="00DD54B2">
    <w:pPr>
      <w:pStyle w:val="ab"/>
      <w:tabs>
        <w:tab w:val="clear" w:pos="4153"/>
        <w:tab w:val="clear" w:pos="8306"/>
        <w:tab w:val="center" w:pos="4394"/>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FF77C" w14:textId="77777777" w:rsidR="006B00BD" w:rsidRDefault="006B00BD">
      <w:r>
        <w:separator/>
      </w:r>
    </w:p>
  </w:footnote>
  <w:footnote w:type="continuationSeparator" w:id="0">
    <w:p w14:paraId="0EF06032" w14:textId="77777777" w:rsidR="006B00BD" w:rsidRDefault="006B00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8025C"/>
    <w:multiLevelType w:val="hybridMultilevel"/>
    <w:tmpl w:val="88F6D460"/>
    <w:lvl w:ilvl="0" w:tplc="04090001">
      <w:start w:val="1"/>
      <w:numFmt w:val="bullet"/>
      <w:lvlText w:val=""/>
      <w:lvlJc w:val="left"/>
      <w:pPr>
        <w:ind w:left="924" w:hanging="420"/>
      </w:pPr>
      <w:rPr>
        <w:rFonts w:ascii="Wingdings" w:hAnsi="Wingdings" w:hint="default"/>
      </w:rPr>
    </w:lvl>
    <w:lvl w:ilvl="1" w:tplc="04090003" w:tentative="1">
      <w:start w:val="1"/>
      <w:numFmt w:val="bullet"/>
      <w:lvlText w:val=""/>
      <w:lvlJc w:val="left"/>
      <w:pPr>
        <w:ind w:left="1344" w:hanging="420"/>
      </w:pPr>
      <w:rPr>
        <w:rFonts w:ascii="Wingdings" w:hAnsi="Wingdings" w:hint="default"/>
      </w:rPr>
    </w:lvl>
    <w:lvl w:ilvl="2" w:tplc="04090005"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3" w:tentative="1">
      <w:start w:val="1"/>
      <w:numFmt w:val="bullet"/>
      <w:lvlText w:val=""/>
      <w:lvlJc w:val="left"/>
      <w:pPr>
        <w:ind w:left="2604" w:hanging="420"/>
      </w:pPr>
      <w:rPr>
        <w:rFonts w:ascii="Wingdings" w:hAnsi="Wingdings" w:hint="default"/>
      </w:rPr>
    </w:lvl>
    <w:lvl w:ilvl="5" w:tplc="04090005"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3" w:tentative="1">
      <w:start w:val="1"/>
      <w:numFmt w:val="bullet"/>
      <w:lvlText w:val=""/>
      <w:lvlJc w:val="left"/>
      <w:pPr>
        <w:ind w:left="3864" w:hanging="420"/>
      </w:pPr>
      <w:rPr>
        <w:rFonts w:ascii="Wingdings" w:hAnsi="Wingdings" w:hint="default"/>
      </w:rPr>
    </w:lvl>
    <w:lvl w:ilvl="8" w:tplc="04090005" w:tentative="1">
      <w:start w:val="1"/>
      <w:numFmt w:val="bullet"/>
      <w:lvlText w:val=""/>
      <w:lvlJc w:val="left"/>
      <w:pPr>
        <w:ind w:left="42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B2"/>
    <w:rsid w:val="00050DE3"/>
    <w:rsid w:val="00092FCB"/>
    <w:rsid w:val="000E20DF"/>
    <w:rsid w:val="000E63BD"/>
    <w:rsid w:val="000F2A2D"/>
    <w:rsid w:val="00107462"/>
    <w:rsid w:val="001428B0"/>
    <w:rsid w:val="00155E6C"/>
    <w:rsid w:val="001A6D7F"/>
    <w:rsid w:val="001B07BB"/>
    <w:rsid w:val="001B2102"/>
    <w:rsid w:val="0021545A"/>
    <w:rsid w:val="00227C4B"/>
    <w:rsid w:val="00244329"/>
    <w:rsid w:val="00245D63"/>
    <w:rsid w:val="00246DC9"/>
    <w:rsid w:val="00246EFB"/>
    <w:rsid w:val="0028502B"/>
    <w:rsid w:val="00285698"/>
    <w:rsid w:val="002A22EE"/>
    <w:rsid w:val="002A44F5"/>
    <w:rsid w:val="002A7788"/>
    <w:rsid w:val="002C052B"/>
    <w:rsid w:val="002D1501"/>
    <w:rsid w:val="002D65E2"/>
    <w:rsid w:val="002F764D"/>
    <w:rsid w:val="00317454"/>
    <w:rsid w:val="00331577"/>
    <w:rsid w:val="00336485"/>
    <w:rsid w:val="00336B05"/>
    <w:rsid w:val="00347E5F"/>
    <w:rsid w:val="0035535D"/>
    <w:rsid w:val="003576CB"/>
    <w:rsid w:val="00360853"/>
    <w:rsid w:val="003667BA"/>
    <w:rsid w:val="00380A1B"/>
    <w:rsid w:val="003904F2"/>
    <w:rsid w:val="003965B0"/>
    <w:rsid w:val="003A01CA"/>
    <w:rsid w:val="003A6944"/>
    <w:rsid w:val="003D7D39"/>
    <w:rsid w:val="003E06B5"/>
    <w:rsid w:val="003E182C"/>
    <w:rsid w:val="00404261"/>
    <w:rsid w:val="004104D6"/>
    <w:rsid w:val="0045526F"/>
    <w:rsid w:val="00471D2C"/>
    <w:rsid w:val="004A5ED7"/>
    <w:rsid w:val="004D616B"/>
    <w:rsid w:val="004E0F3B"/>
    <w:rsid w:val="00520598"/>
    <w:rsid w:val="00555D07"/>
    <w:rsid w:val="0056119F"/>
    <w:rsid w:val="00561961"/>
    <w:rsid w:val="005778EA"/>
    <w:rsid w:val="00587697"/>
    <w:rsid w:val="00587A0C"/>
    <w:rsid w:val="00594718"/>
    <w:rsid w:val="0059477F"/>
    <w:rsid w:val="005B72C3"/>
    <w:rsid w:val="005C7BAE"/>
    <w:rsid w:val="005D55B5"/>
    <w:rsid w:val="00610A76"/>
    <w:rsid w:val="00621705"/>
    <w:rsid w:val="00640EA0"/>
    <w:rsid w:val="00644D99"/>
    <w:rsid w:val="00676B45"/>
    <w:rsid w:val="006B00BD"/>
    <w:rsid w:val="006E0E20"/>
    <w:rsid w:val="006F03EA"/>
    <w:rsid w:val="007028DA"/>
    <w:rsid w:val="007241D6"/>
    <w:rsid w:val="0072701D"/>
    <w:rsid w:val="007378AA"/>
    <w:rsid w:val="00780674"/>
    <w:rsid w:val="00795D74"/>
    <w:rsid w:val="007A0ACD"/>
    <w:rsid w:val="007A2C15"/>
    <w:rsid w:val="007B0BAA"/>
    <w:rsid w:val="007D5084"/>
    <w:rsid w:val="007F30BF"/>
    <w:rsid w:val="0080472E"/>
    <w:rsid w:val="008103F8"/>
    <w:rsid w:val="0083685B"/>
    <w:rsid w:val="00862206"/>
    <w:rsid w:val="00863593"/>
    <w:rsid w:val="008651CA"/>
    <w:rsid w:val="00873E36"/>
    <w:rsid w:val="00876E3F"/>
    <w:rsid w:val="008B2D06"/>
    <w:rsid w:val="008E4B5E"/>
    <w:rsid w:val="008E6863"/>
    <w:rsid w:val="008F3072"/>
    <w:rsid w:val="00904B52"/>
    <w:rsid w:val="009101A8"/>
    <w:rsid w:val="00920C61"/>
    <w:rsid w:val="00987377"/>
    <w:rsid w:val="009B3F4E"/>
    <w:rsid w:val="009B455F"/>
    <w:rsid w:val="009F6617"/>
    <w:rsid w:val="00A23F09"/>
    <w:rsid w:val="00A568C5"/>
    <w:rsid w:val="00A82D15"/>
    <w:rsid w:val="00A9337E"/>
    <w:rsid w:val="00AB1BB7"/>
    <w:rsid w:val="00AD739C"/>
    <w:rsid w:val="00B010ED"/>
    <w:rsid w:val="00B34564"/>
    <w:rsid w:val="00B40DD2"/>
    <w:rsid w:val="00B60C30"/>
    <w:rsid w:val="00B70A95"/>
    <w:rsid w:val="00BB03B6"/>
    <w:rsid w:val="00C06146"/>
    <w:rsid w:val="00C410AC"/>
    <w:rsid w:val="00C72055"/>
    <w:rsid w:val="00CA2841"/>
    <w:rsid w:val="00D074BC"/>
    <w:rsid w:val="00D4359E"/>
    <w:rsid w:val="00D5382B"/>
    <w:rsid w:val="00D65052"/>
    <w:rsid w:val="00D9441F"/>
    <w:rsid w:val="00DC679D"/>
    <w:rsid w:val="00DC6E3E"/>
    <w:rsid w:val="00DD54B2"/>
    <w:rsid w:val="00DE460C"/>
    <w:rsid w:val="00DE50FB"/>
    <w:rsid w:val="00DF0A76"/>
    <w:rsid w:val="00E20AEA"/>
    <w:rsid w:val="00E51361"/>
    <w:rsid w:val="00E61DEA"/>
    <w:rsid w:val="00E638F7"/>
    <w:rsid w:val="00EB67ED"/>
    <w:rsid w:val="00EF5524"/>
    <w:rsid w:val="00EF721B"/>
    <w:rsid w:val="00F013B7"/>
    <w:rsid w:val="00F20188"/>
    <w:rsid w:val="00F25C1A"/>
    <w:rsid w:val="00F321C0"/>
    <w:rsid w:val="00F608FF"/>
    <w:rsid w:val="00F81A2A"/>
    <w:rsid w:val="00FA6C53"/>
    <w:rsid w:val="00FB06F3"/>
    <w:rsid w:val="00FB238A"/>
    <w:rsid w:val="00FB2778"/>
    <w:rsid w:val="00FB4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77DCD47"/>
  <w15:docId w15:val="{758EBDD9-C3CF-41E7-B006-CF292668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等线" w:hAnsi="Calibri" w:cs="Arial"/>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style>
  <w:style w:type="paragraph" w:styleId="a7">
    <w:name w:val="Date"/>
    <w:basedOn w:val="a"/>
    <w:next w:val="a"/>
    <w:link w:val="a8"/>
    <w:uiPriority w:val="99"/>
    <w:unhideWhenUsed/>
    <w:pPr>
      <w:ind w:leftChars="2500" w:left="100"/>
    </w:pPr>
  </w:style>
  <w:style w:type="paragraph" w:styleId="a9">
    <w:name w:val="Balloon Text"/>
    <w:basedOn w:val="a"/>
    <w:link w:val="aa"/>
    <w:uiPriority w:val="99"/>
    <w:unhideWhenUsed/>
    <w:qFormat/>
    <w:rPr>
      <w:sz w:val="18"/>
      <w:szCs w:val="18"/>
    </w:rPr>
  </w:style>
  <w:style w:type="paragraph" w:styleId="ab">
    <w:name w:val="footer"/>
    <w:basedOn w:val="a"/>
    <w:link w:val="ac"/>
    <w:uiPriority w:val="99"/>
    <w:unhideWhenUsed/>
    <w:pPr>
      <w:tabs>
        <w:tab w:val="center" w:pos="4153"/>
        <w:tab w:val="right" w:pos="8306"/>
      </w:tabs>
      <w:snapToGrid w:val="0"/>
    </w:pPr>
    <w:rPr>
      <w:sz w:val="18"/>
    </w:rPr>
  </w:style>
  <w:style w:type="paragraph" w:styleId="ad">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e">
    <w:name w:val="Hyperlink"/>
    <w:uiPriority w:val="99"/>
    <w:unhideWhenUsed/>
    <w:qFormat/>
    <w:rPr>
      <w:color w:val="0563C1"/>
      <w:u w:val="single"/>
    </w:rPr>
  </w:style>
  <w:style w:type="character" w:styleId="af">
    <w:name w:val="annotation reference"/>
    <w:uiPriority w:val="99"/>
    <w:unhideWhenUsed/>
    <w:rPr>
      <w:sz w:val="21"/>
      <w:szCs w:val="21"/>
    </w:rPr>
  </w:style>
  <w:style w:type="character" w:customStyle="1" w:styleId="a6">
    <w:name w:val="批注文字 字符"/>
    <w:basedOn w:val="a0"/>
    <w:link w:val="a4"/>
    <w:uiPriority w:val="99"/>
    <w:semiHidden/>
  </w:style>
  <w:style w:type="character" w:customStyle="1" w:styleId="a5">
    <w:name w:val="批注主题 字符"/>
    <w:link w:val="a3"/>
    <w:uiPriority w:val="99"/>
    <w:semiHidden/>
    <w:rPr>
      <w:b/>
      <w:bCs/>
    </w:rPr>
  </w:style>
  <w:style w:type="character" w:customStyle="1" w:styleId="aa">
    <w:name w:val="批注框文本 字符"/>
    <w:link w:val="a9"/>
    <w:uiPriority w:val="99"/>
    <w:semiHidden/>
    <w:qFormat/>
    <w:rPr>
      <w:sz w:val="18"/>
      <w:szCs w:val="18"/>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ac">
    <w:name w:val="页脚 字符"/>
    <w:link w:val="ab"/>
    <w:uiPriority w:val="99"/>
    <w:qFormat/>
    <w:rPr>
      <w:sz w:val="18"/>
    </w:rPr>
  </w:style>
  <w:style w:type="character" w:customStyle="1" w:styleId="a8">
    <w:name w:val="日期 字符"/>
    <w:basedOn w:val="a0"/>
    <w:link w:val="a7"/>
    <w:uiPriority w:val="99"/>
    <w:semiHidden/>
    <w:qFormat/>
  </w:style>
  <w:style w:type="paragraph" w:customStyle="1" w:styleId="1">
    <w:name w:val="修订1"/>
    <w:hidden/>
    <w:uiPriority w:val="99"/>
    <w:semiHidden/>
  </w:style>
  <w:style w:type="paragraph" w:styleId="af0">
    <w:name w:val="List Paragraph"/>
    <w:basedOn w:val="a"/>
    <w:uiPriority w:val="34"/>
    <w:qFormat/>
    <w:rsid w:val="00EB67ED"/>
    <w:pPr>
      <w:widowControl w:val="0"/>
      <w:ind w:firstLineChars="200" w:firstLine="420"/>
      <w:jc w:val="both"/>
    </w:pPr>
    <w:rPr>
      <w:rFonts w:asciiTheme="minorHAnsi" w:eastAsiaTheme="minorEastAsia" w:hAnsiTheme="minorHAnsi" w:cstheme="minorBidi"/>
      <w:kern w:val="2"/>
      <w:sz w:val="21"/>
      <w:szCs w:val="22"/>
    </w:rPr>
  </w:style>
  <w:style w:type="character" w:customStyle="1" w:styleId="Char">
    <w:name w:val="批注文字 Char"/>
    <w:basedOn w:val="a0"/>
    <w:uiPriority w:val="99"/>
    <w:semiHidden/>
    <w:rsid w:val="000E63BD"/>
  </w:style>
  <w:style w:type="paragraph" w:styleId="af1">
    <w:name w:val="Revision"/>
    <w:hidden/>
    <w:uiPriority w:val="99"/>
    <w:semiHidden/>
    <w:rsid w:val="00A23F09"/>
  </w:style>
  <w:style w:type="paragraph" w:styleId="af2">
    <w:name w:val="Body Text Indent"/>
    <w:basedOn w:val="a"/>
    <w:link w:val="af3"/>
    <w:unhideWhenUsed/>
    <w:rsid w:val="00A23F09"/>
    <w:pPr>
      <w:widowControl w:val="0"/>
      <w:spacing w:after="120"/>
      <w:ind w:leftChars="200" w:left="420"/>
      <w:jc w:val="both"/>
    </w:pPr>
    <w:rPr>
      <w:rFonts w:ascii="Times New Roman" w:eastAsia="宋体" w:hAnsi="Times New Roman" w:cs="Times New Roman"/>
      <w:kern w:val="2"/>
      <w:sz w:val="21"/>
      <w:szCs w:val="24"/>
    </w:rPr>
  </w:style>
  <w:style w:type="character" w:customStyle="1" w:styleId="af3">
    <w:name w:val="正文文本缩进 字符"/>
    <w:basedOn w:val="a0"/>
    <w:link w:val="af2"/>
    <w:rsid w:val="00A23F09"/>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228</Words>
  <Characters>1303</Characters>
  <Application>Microsoft Office Word</Application>
  <DocSecurity>0</DocSecurity>
  <Lines>10</Lines>
  <Paragraphs>3</Paragraphs>
  <ScaleCrop>false</ScaleCrop>
  <Company>ecovacs.com</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joyce.fu(傅俊)</dc:creator>
  <cp:lastModifiedBy>andy.ma(马建军)</cp:lastModifiedBy>
  <cp:revision>4</cp:revision>
  <cp:lastPrinted>2020-01-23T04:24:00Z</cp:lastPrinted>
  <dcterms:created xsi:type="dcterms:W3CDTF">2024-01-30T05:54:00Z</dcterms:created>
  <dcterms:modified xsi:type="dcterms:W3CDTF">2024-01-30T07:25:00Z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2052-10.5.1</vt:lpwstr>
  </property>
</Properties>
</file>